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45406" w14:textId="77777777" w:rsidR="00C3423D" w:rsidRDefault="00C3423D" w:rsidP="00C3423D">
      <w:pPr>
        <w:spacing w:line="360" w:lineRule="auto"/>
        <w:jc w:val="left"/>
        <w:outlineLvl w:val="0"/>
        <w:rPr>
          <w:rFonts w:ascii="黑体" w:eastAsia="黑体" w:hAnsi="华文细黑" w:hint="eastAsia"/>
          <w:sz w:val="24"/>
        </w:rPr>
      </w:pPr>
      <w:r>
        <w:rPr>
          <w:rFonts w:ascii="黑体" w:eastAsia="黑体" w:hAnsi="华文细黑" w:hint="eastAsia"/>
          <w:sz w:val="24"/>
        </w:rPr>
        <w:t>附件1</w:t>
      </w:r>
    </w:p>
    <w:p w14:paraId="0A584778" w14:textId="77777777" w:rsidR="00C3423D" w:rsidRDefault="00C3423D" w:rsidP="00C3423D">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3B130A" w14:paraId="62DFE119" w14:textId="77777777" w:rsidTr="00716538">
        <w:trPr>
          <w:trHeight w:val="605"/>
          <w:jc w:val="center"/>
        </w:trPr>
        <w:tc>
          <w:tcPr>
            <w:tcW w:w="1980" w:type="dxa"/>
            <w:vAlign w:val="center"/>
          </w:tcPr>
          <w:p w14:paraId="77BA7F89" w14:textId="77777777" w:rsidR="003B130A" w:rsidRDefault="003B130A" w:rsidP="003B130A">
            <w:pPr>
              <w:rPr>
                <w:sz w:val="24"/>
              </w:rPr>
            </w:pPr>
            <w:r>
              <w:rPr>
                <w:rFonts w:hint="eastAsia"/>
                <w:sz w:val="24"/>
              </w:rPr>
              <w:t>项目名称（中文）</w:t>
            </w:r>
          </w:p>
        </w:tc>
        <w:tc>
          <w:tcPr>
            <w:tcW w:w="7255" w:type="dxa"/>
            <w:gridSpan w:val="4"/>
            <w:vAlign w:val="center"/>
          </w:tcPr>
          <w:p w14:paraId="48BBACC5" w14:textId="77777777" w:rsidR="003B130A" w:rsidRDefault="003B130A" w:rsidP="003B130A">
            <w:pPr>
              <w:jc w:val="center"/>
              <w:rPr>
                <w:sz w:val="24"/>
                <w:szCs w:val="24"/>
              </w:rPr>
            </w:pPr>
            <w:r>
              <w:rPr>
                <w:rFonts w:hint="eastAsia"/>
                <w:sz w:val="24"/>
                <w:szCs w:val="24"/>
              </w:rPr>
              <w:t>沿海内河船舶机舱智能运</w:t>
            </w:r>
            <w:proofErr w:type="gramStart"/>
            <w:r>
              <w:rPr>
                <w:rFonts w:hint="eastAsia"/>
                <w:sz w:val="24"/>
                <w:szCs w:val="24"/>
              </w:rPr>
              <w:t>维系统</w:t>
            </w:r>
            <w:proofErr w:type="gramEnd"/>
            <w:r>
              <w:rPr>
                <w:rFonts w:hint="eastAsia"/>
                <w:sz w:val="24"/>
                <w:szCs w:val="24"/>
              </w:rPr>
              <w:t>技术要求</w:t>
            </w:r>
          </w:p>
        </w:tc>
      </w:tr>
      <w:tr w:rsidR="003B130A" w14:paraId="5955940A" w14:textId="77777777" w:rsidTr="00716538">
        <w:trPr>
          <w:trHeight w:val="605"/>
          <w:jc w:val="center"/>
        </w:trPr>
        <w:tc>
          <w:tcPr>
            <w:tcW w:w="1980" w:type="dxa"/>
            <w:vAlign w:val="center"/>
          </w:tcPr>
          <w:p w14:paraId="41CB6CA0" w14:textId="77777777" w:rsidR="003B130A" w:rsidRDefault="003B130A" w:rsidP="003B130A">
            <w:pPr>
              <w:rPr>
                <w:sz w:val="24"/>
              </w:rPr>
            </w:pPr>
            <w:r>
              <w:rPr>
                <w:rFonts w:hint="eastAsia"/>
                <w:sz w:val="24"/>
              </w:rPr>
              <w:t>项目名称（英文）</w:t>
            </w:r>
          </w:p>
        </w:tc>
        <w:tc>
          <w:tcPr>
            <w:tcW w:w="7255" w:type="dxa"/>
            <w:gridSpan w:val="4"/>
            <w:vAlign w:val="center"/>
          </w:tcPr>
          <w:p w14:paraId="34130939" w14:textId="7B2EC637" w:rsidR="003B130A" w:rsidRDefault="003B130A" w:rsidP="003B130A">
            <w:pPr>
              <w:jc w:val="center"/>
              <w:rPr>
                <w:sz w:val="24"/>
                <w:szCs w:val="24"/>
              </w:rPr>
            </w:pPr>
            <w:r>
              <w:rPr>
                <w:sz w:val="24"/>
                <w:szCs w:val="24"/>
              </w:rPr>
              <w:t xml:space="preserve">Technical </w:t>
            </w:r>
            <w:r w:rsidR="00724F45">
              <w:rPr>
                <w:rFonts w:hint="eastAsia"/>
                <w:sz w:val="24"/>
                <w:szCs w:val="24"/>
              </w:rPr>
              <w:t>r</w:t>
            </w:r>
            <w:r>
              <w:rPr>
                <w:sz w:val="24"/>
                <w:szCs w:val="24"/>
              </w:rPr>
              <w:t xml:space="preserve">equirements for </w:t>
            </w:r>
            <w:r w:rsidR="00724F45">
              <w:rPr>
                <w:rFonts w:hint="eastAsia"/>
                <w:sz w:val="24"/>
                <w:szCs w:val="24"/>
              </w:rPr>
              <w:t>i</w:t>
            </w:r>
            <w:r w:rsidR="00724F45">
              <w:rPr>
                <w:sz w:val="24"/>
                <w:szCs w:val="24"/>
              </w:rPr>
              <w:t xml:space="preserve">ntelligent </w:t>
            </w:r>
            <w:r w:rsidR="00724F45">
              <w:rPr>
                <w:rFonts w:hint="eastAsia"/>
                <w:sz w:val="24"/>
                <w:szCs w:val="24"/>
              </w:rPr>
              <w:t>o</w:t>
            </w:r>
            <w:r w:rsidR="00724F45">
              <w:rPr>
                <w:sz w:val="24"/>
                <w:szCs w:val="24"/>
              </w:rPr>
              <w:t xml:space="preserve">peration </w:t>
            </w:r>
            <w:r>
              <w:rPr>
                <w:sz w:val="24"/>
                <w:szCs w:val="24"/>
              </w:rPr>
              <w:t xml:space="preserve">and </w:t>
            </w:r>
            <w:r w:rsidR="00724F45">
              <w:rPr>
                <w:rFonts w:hint="eastAsia"/>
                <w:sz w:val="24"/>
                <w:szCs w:val="24"/>
              </w:rPr>
              <w:t>m</w:t>
            </w:r>
            <w:r w:rsidR="00724F45">
              <w:rPr>
                <w:sz w:val="24"/>
                <w:szCs w:val="24"/>
              </w:rPr>
              <w:t xml:space="preserve">aintenance </w:t>
            </w:r>
            <w:r w:rsidR="00724F45">
              <w:rPr>
                <w:rFonts w:hint="eastAsia"/>
                <w:sz w:val="24"/>
                <w:szCs w:val="24"/>
              </w:rPr>
              <w:t>s</w:t>
            </w:r>
            <w:r w:rsidR="00724F45">
              <w:rPr>
                <w:sz w:val="24"/>
                <w:szCs w:val="24"/>
              </w:rPr>
              <w:t xml:space="preserve">ystem </w:t>
            </w:r>
            <w:r>
              <w:rPr>
                <w:sz w:val="24"/>
                <w:szCs w:val="24"/>
              </w:rPr>
              <w:t xml:space="preserve">of </w:t>
            </w:r>
            <w:r w:rsidR="00724F45">
              <w:rPr>
                <w:rFonts w:hint="eastAsia"/>
                <w:sz w:val="24"/>
                <w:szCs w:val="24"/>
              </w:rPr>
              <w:t>c</w:t>
            </w:r>
            <w:r w:rsidR="00724F45">
              <w:rPr>
                <w:sz w:val="24"/>
                <w:szCs w:val="24"/>
              </w:rPr>
              <w:t xml:space="preserve">oastal </w:t>
            </w:r>
            <w:r>
              <w:rPr>
                <w:sz w:val="24"/>
                <w:szCs w:val="24"/>
              </w:rPr>
              <w:t xml:space="preserve">and </w:t>
            </w:r>
            <w:r w:rsidR="00724F45">
              <w:rPr>
                <w:rFonts w:hint="eastAsia"/>
                <w:sz w:val="24"/>
                <w:szCs w:val="24"/>
              </w:rPr>
              <w:t>i</w:t>
            </w:r>
            <w:r w:rsidR="00724F45">
              <w:rPr>
                <w:sz w:val="24"/>
                <w:szCs w:val="24"/>
              </w:rPr>
              <w:t xml:space="preserve">nland </w:t>
            </w:r>
            <w:r w:rsidR="00724F45">
              <w:rPr>
                <w:rFonts w:hint="eastAsia"/>
                <w:sz w:val="24"/>
                <w:szCs w:val="24"/>
              </w:rPr>
              <w:t>r</w:t>
            </w:r>
            <w:r w:rsidR="00724F45">
              <w:rPr>
                <w:sz w:val="24"/>
                <w:szCs w:val="24"/>
              </w:rPr>
              <w:t xml:space="preserve">iver </w:t>
            </w:r>
            <w:r w:rsidR="00724F45">
              <w:rPr>
                <w:rFonts w:hint="eastAsia"/>
                <w:sz w:val="24"/>
                <w:szCs w:val="24"/>
              </w:rPr>
              <w:t>s</w:t>
            </w:r>
            <w:r w:rsidR="00724F45">
              <w:rPr>
                <w:sz w:val="24"/>
                <w:szCs w:val="24"/>
              </w:rPr>
              <w:t xml:space="preserve">hip </w:t>
            </w:r>
            <w:r w:rsidR="00724F45">
              <w:rPr>
                <w:rFonts w:hint="eastAsia"/>
                <w:sz w:val="24"/>
                <w:szCs w:val="24"/>
              </w:rPr>
              <w:t>e</w:t>
            </w:r>
            <w:r w:rsidR="00724F45">
              <w:rPr>
                <w:sz w:val="24"/>
                <w:szCs w:val="24"/>
              </w:rPr>
              <w:t xml:space="preserve">ngine </w:t>
            </w:r>
            <w:r w:rsidR="00724F45">
              <w:rPr>
                <w:rFonts w:hint="eastAsia"/>
                <w:sz w:val="24"/>
                <w:szCs w:val="24"/>
              </w:rPr>
              <w:t>r</w:t>
            </w:r>
            <w:r w:rsidR="00724F45">
              <w:rPr>
                <w:sz w:val="24"/>
                <w:szCs w:val="24"/>
              </w:rPr>
              <w:t>oom</w:t>
            </w:r>
          </w:p>
        </w:tc>
      </w:tr>
      <w:tr w:rsidR="003B130A" w14:paraId="18AFB978" w14:textId="77777777" w:rsidTr="00716538">
        <w:trPr>
          <w:trHeight w:val="540"/>
          <w:jc w:val="center"/>
        </w:trPr>
        <w:tc>
          <w:tcPr>
            <w:tcW w:w="1980" w:type="dxa"/>
            <w:vAlign w:val="center"/>
          </w:tcPr>
          <w:p w14:paraId="431D36A6" w14:textId="77777777" w:rsidR="003B130A" w:rsidRDefault="003B130A" w:rsidP="003B130A">
            <w:pPr>
              <w:jc w:val="center"/>
              <w:rPr>
                <w:sz w:val="24"/>
              </w:rPr>
            </w:pPr>
            <w:r>
              <w:rPr>
                <w:rFonts w:hint="eastAsia"/>
                <w:sz w:val="24"/>
              </w:rPr>
              <w:t>制修订</w:t>
            </w:r>
          </w:p>
        </w:tc>
        <w:tc>
          <w:tcPr>
            <w:tcW w:w="2171" w:type="dxa"/>
            <w:vAlign w:val="center"/>
          </w:tcPr>
          <w:p w14:paraId="52C6512D" w14:textId="77777777" w:rsidR="003B130A" w:rsidRDefault="003B130A" w:rsidP="003B130A">
            <w:pPr>
              <w:jc w:val="center"/>
              <w:rPr>
                <w:sz w:val="24"/>
              </w:rPr>
            </w:pPr>
            <w:r>
              <w:rPr>
                <w:rFonts w:ascii="Segoe UI Symbol" w:hAnsi="Segoe UI Symbol" w:cs="Segoe UI Symbol"/>
                <w:sz w:val="24"/>
                <w:szCs w:val="24"/>
              </w:rPr>
              <w:t>☑</w:t>
            </w:r>
            <w:r>
              <w:rPr>
                <w:rFonts w:hAnsiTheme="minorEastAsia" w:hint="eastAsia"/>
                <w:sz w:val="24"/>
              </w:rPr>
              <w:t>制定   □修订</w:t>
            </w:r>
          </w:p>
        </w:tc>
        <w:tc>
          <w:tcPr>
            <w:tcW w:w="1701" w:type="dxa"/>
            <w:gridSpan w:val="2"/>
            <w:vAlign w:val="center"/>
          </w:tcPr>
          <w:p w14:paraId="1D250125" w14:textId="77777777" w:rsidR="003B130A" w:rsidRDefault="003B130A" w:rsidP="003B130A">
            <w:pPr>
              <w:jc w:val="center"/>
              <w:rPr>
                <w:sz w:val="24"/>
              </w:rPr>
            </w:pPr>
            <w:r>
              <w:rPr>
                <w:rFonts w:hint="eastAsia"/>
                <w:sz w:val="24"/>
              </w:rPr>
              <w:t>被修订标准号</w:t>
            </w:r>
          </w:p>
        </w:tc>
        <w:tc>
          <w:tcPr>
            <w:tcW w:w="3383" w:type="dxa"/>
            <w:vAlign w:val="center"/>
          </w:tcPr>
          <w:p w14:paraId="2FA99B18" w14:textId="77777777" w:rsidR="003B130A" w:rsidRDefault="003B130A" w:rsidP="003B130A">
            <w:pPr>
              <w:rPr>
                <w:sz w:val="24"/>
              </w:rPr>
            </w:pPr>
            <w:r>
              <w:rPr>
                <w:rFonts w:hint="eastAsia"/>
                <w:sz w:val="24"/>
              </w:rPr>
              <w:t xml:space="preserve">   </w:t>
            </w:r>
          </w:p>
        </w:tc>
      </w:tr>
      <w:tr w:rsidR="003B130A" w14:paraId="78CDEE66" w14:textId="77777777" w:rsidTr="00716538">
        <w:trPr>
          <w:trHeight w:val="540"/>
          <w:jc w:val="center"/>
        </w:trPr>
        <w:tc>
          <w:tcPr>
            <w:tcW w:w="1980" w:type="dxa"/>
            <w:vAlign w:val="center"/>
          </w:tcPr>
          <w:p w14:paraId="286AEA97" w14:textId="77777777" w:rsidR="003B130A" w:rsidRDefault="003B130A" w:rsidP="003B130A">
            <w:pPr>
              <w:jc w:val="center"/>
              <w:rPr>
                <w:sz w:val="24"/>
              </w:rPr>
            </w:pPr>
            <w:r>
              <w:rPr>
                <w:rFonts w:hint="eastAsia"/>
                <w:sz w:val="24"/>
              </w:rPr>
              <w:t>被修订标准名称</w:t>
            </w:r>
          </w:p>
        </w:tc>
        <w:tc>
          <w:tcPr>
            <w:tcW w:w="2171" w:type="dxa"/>
            <w:vAlign w:val="center"/>
          </w:tcPr>
          <w:p w14:paraId="28B66CF6" w14:textId="77777777" w:rsidR="003B130A" w:rsidRPr="003F0615" w:rsidRDefault="003B130A" w:rsidP="003B130A">
            <w:pPr>
              <w:rPr>
                <w:rFonts w:hAnsiTheme="minorEastAsia" w:hint="eastAsia"/>
                <w:i/>
                <w:iCs/>
                <w:sz w:val="24"/>
                <w:highlight w:val="yellow"/>
              </w:rPr>
            </w:pPr>
          </w:p>
        </w:tc>
        <w:tc>
          <w:tcPr>
            <w:tcW w:w="1701" w:type="dxa"/>
            <w:gridSpan w:val="2"/>
            <w:vAlign w:val="center"/>
          </w:tcPr>
          <w:p w14:paraId="797EE57E" w14:textId="77777777" w:rsidR="003B130A" w:rsidRDefault="003B130A" w:rsidP="003B130A">
            <w:pPr>
              <w:jc w:val="center"/>
              <w:rPr>
                <w:sz w:val="24"/>
              </w:rPr>
            </w:pPr>
            <w:r>
              <w:rPr>
                <w:rFonts w:hint="eastAsia"/>
                <w:sz w:val="24"/>
              </w:rPr>
              <w:t>编制周期</w:t>
            </w:r>
          </w:p>
        </w:tc>
        <w:tc>
          <w:tcPr>
            <w:tcW w:w="3383" w:type="dxa"/>
            <w:vAlign w:val="center"/>
          </w:tcPr>
          <w:p w14:paraId="14370198" w14:textId="77777777" w:rsidR="003B130A" w:rsidRDefault="003B130A" w:rsidP="003B130A">
            <w:pPr>
              <w:rPr>
                <w:rFonts w:hAnsiTheme="minorEastAsia" w:hint="eastAsia"/>
                <w:sz w:val="24"/>
              </w:rPr>
            </w:pPr>
            <w:r>
              <w:rPr>
                <w:rFonts w:ascii="Segoe UI Symbol" w:hAnsi="Segoe UI Symbol" w:cs="Segoe UI Symbol"/>
                <w:sz w:val="24"/>
                <w:szCs w:val="24"/>
              </w:rPr>
              <w:t>☑</w:t>
            </w:r>
            <w:r>
              <w:rPr>
                <w:rFonts w:hAnsiTheme="minorEastAsia" w:hint="eastAsia"/>
                <w:sz w:val="24"/>
              </w:rPr>
              <w:t xml:space="preserve">12个月  □18个月   </w:t>
            </w:r>
          </w:p>
          <w:p w14:paraId="1D44F093" w14:textId="77777777" w:rsidR="003B130A" w:rsidRDefault="003B130A" w:rsidP="003B130A">
            <w:pPr>
              <w:rPr>
                <w:sz w:val="24"/>
              </w:rPr>
            </w:pPr>
            <w:r>
              <w:rPr>
                <w:rFonts w:hAnsiTheme="minorEastAsia" w:hint="eastAsia"/>
                <w:sz w:val="24"/>
              </w:rPr>
              <w:t>□其他</w:t>
            </w:r>
            <w:r>
              <w:rPr>
                <w:rFonts w:hAnsiTheme="minorEastAsia" w:hint="eastAsia"/>
                <w:sz w:val="24"/>
                <w:u w:val="single"/>
              </w:rPr>
              <w:t xml:space="preserve">         </w:t>
            </w:r>
          </w:p>
        </w:tc>
      </w:tr>
      <w:tr w:rsidR="003B130A" w14:paraId="245F8BA0" w14:textId="77777777" w:rsidTr="00716538">
        <w:trPr>
          <w:trHeight w:val="548"/>
          <w:jc w:val="center"/>
        </w:trPr>
        <w:tc>
          <w:tcPr>
            <w:tcW w:w="1980" w:type="dxa"/>
            <w:vAlign w:val="center"/>
          </w:tcPr>
          <w:p w14:paraId="0F3FA556" w14:textId="77777777" w:rsidR="003B130A" w:rsidRDefault="003B130A" w:rsidP="003B130A">
            <w:pPr>
              <w:jc w:val="center"/>
              <w:rPr>
                <w:sz w:val="24"/>
              </w:rPr>
            </w:pPr>
            <w:r>
              <w:rPr>
                <w:rFonts w:hint="eastAsia"/>
                <w:sz w:val="24"/>
              </w:rPr>
              <w:t>起草单位</w:t>
            </w:r>
          </w:p>
          <w:p w14:paraId="17B68579" w14:textId="77777777" w:rsidR="003B130A" w:rsidRDefault="003B130A" w:rsidP="003B130A">
            <w:pPr>
              <w:jc w:val="center"/>
              <w:rPr>
                <w:sz w:val="24"/>
              </w:rPr>
            </w:pPr>
            <w:r>
              <w:rPr>
                <w:rFonts w:hint="eastAsia"/>
                <w:sz w:val="24"/>
              </w:rPr>
              <w:t>（不少于3家）</w:t>
            </w:r>
          </w:p>
        </w:tc>
        <w:tc>
          <w:tcPr>
            <w:tcW w:w="7255" w:type="dxa"/>
            <w:gridSpan w:val="4"/>
            <w:vAlign w:val="center"/>
          </w:tcPr>
          <w:p w14:paraId="502B3365" w14:textId="77777777" w:rsidR="003B130A" w:rsidRDefault="003B130A" w:rsidP="003B130A">
            <w:pPr>
              <w:jc w:val="center"/>
              <w:rPr>
                <w:sz w:val="24"/>
              </w:rPr>
            </w:pPr>
            <w:r>
              <w:rPr>
                <w:rFonts w:hint="eastAsia"/>
                <w:sz w:val="24"/>
                <w:szCs w:val="24"/>
              </w:rPr>
              <w:t>上海船舶运输科学研究所有限公司、武汉理工大学、上海长江轮船有限公司、哈尔滨工程大学、中国船级社武汉分社</w:t>
            </w:r>
          </w:p>
        </w:tc>
      </w:tr>
      <w:tr w:rsidR="003B130A" w14:paraId="29ACA005" w14:textId="77777777" w:rsidTr="00716538">
        <w:trPr>
          <w:trHeight w:val="548"/>
          <w:jc w:val="center"/>
        </w:trPr>
        <w:tc>
          <w:tcPr>
            <w:tcW w:w="1980" w:type="dxa"/>
            <w:vAlign w:val="center"/>
          </w:tcPr>
          <w:p w14:paraId="007C3C1D" w14:textId="77777777" w:rsidR="003B130A" w:rsidRDefault="003B130A" w:rsidP="003B130A">
            <w:pPr>
              <w:jc w:val="center"/>
              <w:rPr>
                <w:sz w:val="24"/>
              </w:rPr>
            </w:pPr>
            <w:r>
              <w:rPr>
                <w:rFonts w:hint="eastAsia"/>
                <w:sz w:val="24"/>
              </w:rPr>
              <w:t>联系人</w:t>
            </w:r>
          </w:p>
        </w:tc>
        <w:tc>
          <w:tcPr>
            <w:tcW w:w="2171" w:type="dxa"/>
            <w:vAlign w:val="center"/>
          </w:tcPr>
          <w:p w14:paraId="391AE6D9" w14:textId="77777777" w:rsidR="003B130A" w:rsidRDefault="003B130A" w:rsidP="003B130A">
            <w:pPr>
              <w:jc w:val="center"/>
              <w:rPr>
                <w:sz w:val="24"/>
                <w:szCs w:val="24"/>
              </w:rPr>
            </w:pPr>
            <w:r>
              <w:rPr>
                <w:rFonts w:hint="eastAsia"/>
                <w:sz w:val="24"/>
                <w:szCs w:val="24"/>
                <w:lang w:val="en-US"/>
              </w:rPr>
              <w:t>栾泳立</w:t>
            </w:r>
          </w:p>
        </w:tc>
        <w:tc>
          <w:tcPr>
            <w:tcW w:w="850" w:type="dxa"/>
            <w:vAlign w:val="center"/>
          </w:tcPr>
          <w:p w14:paraId="5816E328" w14:textId="77777777" w:rsidR="003B130A" w:rsidRDefault="003B130A" w:rsidP="003B130A">
            <w:pPr>
              <w:jc w:val="center"/>
              <w:rPr>
                <w:sz w:val="24"/>
                <w:szCs w:val="24"/>
              </w:rPr>
            </w:pPr>
            <w:r>
              <w:rPr>
                <w:rFonts w:ascii="宋体" w:hAnsi="宋体" w:hint="eastAsia"/>
                <w:sz w:val="24"/>
                <w:szCs w:val="24"/>
              </w:rPr>
              <w:t>地址</w:t>
            </w:r>
          </w:p>
        </w:tc>
        <w:tc>
          <w:tcPr>
            <w:tcW w:w="4234" w:type="dxa"/>
            <w:gridSpan w:val="2"/>
            <w:vAlign w:val="center"/>
          </w:tcPr>
          <w:p w14:paraId="0115500C" w14:textId="77777777" w:rsidR="003B130A" w:rsidRDefault="003B130A" w:rsidP="003B130A">
            <w:pPr>
              <w:jc w:val="center"/>
              <w:rPr>
                <w:sz w:val="24"/>
                <w:szCs w:val="24"/>
              </w:rPr>
            </w:pPr>
            <w:r>
              <w:rPr>
                <w:rFonts w:hint="eastAsia"/>
                <w:sz w:val="24"/>
                <w:szCs w:val="24"/>
              </w:rPr>
              <w:t>上海市浦东</w:t>
            </w:r>
            <w:proofErr w:type="gramStart"/>
            <w:r>
              <w:rPr>
                <w:rFonts w:hint="eastAsia"/>
                <w:sz w:val="24"/>
                <w:szCs w:val="24"/>
              </w:rPr>
              <w:t>新区民</w:t>
            </w:r>
            <w:proofErr w:type="gramEnd"/>
            <w:r>
              <w:rPr>
                <w:rFonts w:hint="eastAsia"/>
                <w:sz w:val="24"/>
                <w:szCs w:val="24"/>
              </w:rPr>
              <w:t>生路628号</w:t>
            </w:r>
          </w:p>
        </w:tc>
      </w:tr>
      <w:tr w:rsidR="003B130A" w14:paraId="4CE005FC" w14:textId="77777777" w:rsidTr="00716538">
        <w:trPr>
          <w:trHeight w:val="548"/>
          <w:jc w:val="center"/>
        </w:trPr>
        <w:tc>
          <w:tcPr>
            <w:tcW w:w="1980" w:type="dxa"/>
            <w:vAlign w:val="center"/>
          </w:tcPr>
          <w:p w14:paraId="5E83BA7B" w14:textId="77777777" w:rsidR="003B130A" w:rsidRDefault="003B130A" w:rsidP="003B130A">
            <w:pPr>
              <w:jc w:val="center"/>
              <w:rPr>
                <w:sz w:val="24"/>
              </w:rPr>
            </w:pPr>
            <w:r>
              <w:rPr>
                <w:rFonts w:hint="eastAsia"/>
                <w:sz w:val="24"/>
              </w:rPr>
              <w:t>电话</w:t>
            </w:r>
          </w:p>
        </w:tc>
        <w:tc>
          <w:tcPr>
            <w:tcW w:w="2171" w:type="dxa"/>
            <w:vAlign w:val="center"/>
          </w:tcPr>
          <w:p w14:paraId="7E95DDC7" w14:textId="77777777" w:rsidR="003B130A" w:rsidRDefault="003B130A" w:rsidP="003B130A">
            <w:pPr>
              <w:jc w:val="center"/>
              <w:rPr>
                <w:sz w:val="24"/>
                <w:szCs w:val="24"/>
              </w:rPr>
            </w:pPr>
            <w:r>
              <w:rPr>
                <w:rFonts w:hint="eastAsia"/>
                <w:sz w:val="24"/>
                <w:szCs w:val="24"/>
              </w:rPr>
              <w:t>15618431711</w:t>
            </w:r>
          </w:p>
        </w:tc>
        <w:tc>
          <w:tcPr>
            <w:tcW w:w="850" w:type="dxa"/>
            <w:vAlign w:val="center"/>
          </w:tcPr>
          <w:p w14:paraId="566A22C3" w14:textId="77777777" w:rsidR="003B130A" w:rsidRDefault="003B130A" w:rsidP="003B130A">
            <w:pPr>
              <w:jc w:val="center"/>
              <w:rPr>
                <w:sz w:val="24"/>
                <w:szCs w:val="24"/>
              </w:rPr>
            </w:pPr>
            <w:r>
              <w:rPr>
                <w:rFonts w:ascii="宋体" w:hAnsi="宋体" w:hint="eastAsia"/>
                <w:sz w:val="24"/>
                <w:szCs w:val="24"/>
              </w:rPr>
              <w:t>邮箱</w:t>
            </w:r>
          </w:p>
        </w:tc>
        <w:tc>
          <w:tcPr>
            <w:tcW w:w="4234" w:type="dxa"/>
            <w:gridSpan w:val="2"/>
            <w:vAlign w:val="center"/>
          </w:tcPr>
          <w:p w14:paraId="40C47C44" w14:textId="77777777" w:rsidR="003B130A" w:rsidRDefault="003B130A" w:rsidP="003B130A">
            <w:pPr>
              <w:jc w:val="center"/>
              <w:rPr>
                <w:sz w:val="24"/>
                <w:szCs w:val="24"/>
              </w:rPr>
            </w:pPr>
            <w:r>
              <w:rPr>
                <w:rFonts w:hint="eastAsia"/>
                <w:sz w:val="24"/>
                <w:szCs w:val="24"/>
              </w:rPr>
              <w:t>luan.yongli@coscoshipping.com</w:t>
            </w:r>
          </w:p>
        </w:tc>
      </w:tr>
      <w:tr w:rsidR="003B130A" w14:paraId="6799B3B9" w14:textId="77777777" w:rsidTr="00505991">
        <w:trPr>
          <w:trHeight w:val="960"/>
          <w:jc w:val="center"/>
        </w:trPr>
        <w:tc>
          <w:tcPr>
            <w:tcW w:w="1980" w:type="dxa"/>
            <w:vAlign w:val="center"/>
          </w:tcPr>
          <w:p w14:paraId="495260C0" w14:textId="77777777" w:rsidR="003B130A" w:rsidRDefault="003B130A" w:rsidP="003B130A">
            <w:pPr>
              <w:jc w:val="center"/>
              <w:rPr>
                <w:sz w:val="24"/>
              </w:rPr>
            </w:pPr>
            <w:r>
              <w:rPr>
                <w:rFonts w:hint="eastAsia"/>
                <w:sz w:val="24"/>
              </w:rPr>
              <w:t>技术与市场</w:t>
            </w:r>
          </w:p>
          <w:p w14:paraId="7856752C" w14:textId="77777777" w:rsidR="003B130A" w:rsidRDefault="003B130A" w:rsidP="003B130A">
            <w:pPr>
              <w:jc w:val="center"/>
              <w:rPr>
                <w:sz w:val="24"/>
              </w:rPr>
            </w:pPr>
            <w:r>
              <w:rPr>
                <w:rFonts w:hint="eastAsia"/>
                <w:sz w:val="24"/>
              </w:rPr>
              <w:t>发展背景</w:t>
            </w:r>
          </w:p>
        </w:tc>
        <w:tc>
          <w:tcPr>
            <w:tcW w:w="7255" w:type="dxa"/>
            <w:gridSpan w:val="4"/>
            <w:vAlign w:val="center"/>
          </w:tcPr>
          <w:p w14:paraId="27DA0781" w14:textId="77777777" w:rsidR="006B3F32" w:rsidRPr="00380885" w:rsidRDefault="006B3F32" w:rsidP="00380885">
            <w:pPr>
              <w:ind w:firstLineChars="200" w:firstLine="480"/>
              <w:rPr>
                <w:sz w:val="24"/>
                <w:lang w:val="en-US"/>
              </w:rPr>
            </w:pPr>
            <w:r w:rsidRPr="006B3F32">
              <w:rPr>
                <w:sz w:val="24"/>
                <w:lang w:val="en-US"/>
              </w:rPr>
              <w:t>在航运业迈向智能化的进程中，船舶智能机舱视情维护技术正崭露头角，成为行业变革的关键驱动力。随着传感器技术不断精进，高精度、高可靠性的传感器被广泛部署于船舶机舱各类设备，如发动机、泵等，能够实时采集设备运行的振动、温度、压力等海量数据。同时，先进的数据分析算法与机器学习模型得到应用，可深度挖掘数据背后的设备运行状态信息，精准预测设备故障隐患，改变了传统定期维护的被动模式。</w:t>
            </w:r>
            <w:r w:rsidRPr="006B3F32">
              <w:rPr>
                <w:sz w:val="24"/>
                <w:lang w:val="en-US"/>
              </w:rPr>
              <w:t>​</w:t>
            </w:r>
          </w:p>
          <w:p w14:paraId="725EB6B4" w14:textId="77777777" w:rsidR="006B3F32" w:rsidRPr="006B3F32" w:rsidRDefault="006B3F32" w:rsidP="00380885">
            <w:pPr>
              <w:ind w:firstLineChars="200" w:firstLine="480"/>
              <w:rPr>
                <w:sz w:val="24"/>
                <w:lang w:val="en-US"/>
              </w:rPr>
            </w:pPr>
            <w:r w:rsidRPr="006B3F32">
              <w:rPr>
                <w:sz w:val="24"/>
                <w:lang w:val="en-US"/>
              </w:rPr>
              <w:t>从市场层面来看，航运企业面临着日益增长的运营成本压力以及愈发严格的行业安全法规要求。一方面，传统定期维护模式成本高昂，且难以提前发现设备潜在问题，影响船舶正常运营。另一方面，海事部门对船舶安全运营监管趋严，促使企业急需可靠技术保障船舶安全稳定运行。在此背景下，船舶智能机舱视情维护技术凭借其精准预测故障、降低维护成本、提升船舶安全性等优势，契合了市场需求。全球范围内，各航运大国纷纷加大对该技术研发与应用的投入，力求在智能化航运竞争中抢占先机，推动了船舶智能机舱视情维护技术市场的蓬勃发展。</w:t>
            </w:r>
          </w:p>
          <w:p w14:paraId="3694053D" w14:textId="77777777" w:rsidR="006B3F32" w:rsidRPr="00380885" w:rsidRDefault="006B3F32" w:rsidP="00380885">
            <w:pPr>
              <w:ind w:firstLineChars="200" w:firstLine="480"/>
              <w:rPr>
                <w:sz w:val="24"/>
                <w:lang w:val="en-US"/>
              </w:rPr>
            </w:pPr>
            <w:r w:rsidRPr="00380885">
              <w:rPr>
                <w:rFonts w:hint="eastAsia"/>
                <w:sz w:val="24"/>
                <w:lang w:val="en-US"/>
              </w:rPr>
              <w:t>国外知名发动机厂商Win-GD推出了</w:t>
            </w:r>
            <w:proofErr w:type="spellStart"/>
            <w:r w:rsidRPr="00380885">
              <w:rPr>
                <w:rFonts w:hint="eastAsia"/>
                <w:sz w:val="24"/>
                <w:lang w:val="en-US"/>
              </w:rPr>
              <w:t>WiDE</w:t>
            </w:r>
            <w:proofErr w:type="spellEnd"/>
            <w:r w:rsidRPr="00380885">
              <w:rPr>
                <w:rFonts w:hint="eastAsia"/>
                <w:sz w:val="24"/>
                <w:lang w:val="en-US"/>
              </w:rPr>
              <w:t>系统，能够对其发动机进行故障诊断与异常预警，</w:t>
            </w:r>
            <w:r w:rsidRPr="00380885">
              <w:rPr>
                <w:sz w:val="24"/>
              </w:rPr>
              <w:t>MAN E&amp;S</w:t>
            </w:r>
            <w:r w:rsidRPr="00380885">
              <w:rPr>
                <w:rFonts w:hint="eastAsia"/>
                <w:sz w:val="24"/>
              </w:rPr>
              <w:t>公司推出的Cocos EDS系统已经成为装机标准化软件之一。</w:t>
            </w:r>
            <w:proofErr w:type="gramStart"/>
            <w:r w:rsidRPr="00380885">
              <w:rPr>
                <w:rFonts w:hint="eastAsia"/>
                <w:sz w:val="24"/>
              </w:rPr>
              <w:t>康士伯</w:t>
            </w:r>
            <w:proofErr w:type="gramEnd"/>
            <w:r w:rsidRPr="00380885">
              <w:rPr>
                <w:rFonts w:hint="eastAsia"/>
                <w:sz w:val="24"/>
              </w:rPr>
              <w:t>公司推出的K-chief</w:t>
            </w:r>
            <w:r w:rsidR="00DF1C0E" w:rsidRPr="00380885">
              <w:rPr>
                <w:rFonts w:hint="eastAsia"/>
                <w:sz w:val="24"/>
              </w:rPr>
              <w:t>系列产品</w:t>
            </w:r>
            <w:r w:rsidRPr="00380885">
              <w:rPr>
                <w:rFonts w:hint="eastAsia"/>
                <w:sz w:val="24"/>
              </w:rPr>
              <w:t>,</w:t>
            </w:r>
            <w:r w:rsidRPr="00380885">
              <w:rPr>
                <w:rFonts w:ascii="Segoe UI" w:hAnsi="Segoe UI" w:cs="Segoe UI"/>
                <w:shd w:val="clear" w:color="auto" w:fill="F9FAFB"/>
              </w:rPr>
              <w:t xml:space="preserve"> </w:t>
            </w:r>
            <w:r w:rsidRPr="00380885">
              <w:rPr>
                <w:sz w:val="24"/>
              </w:rPr>
              <w:t>轴承磨损监控系统</w:t>
            </w:r>
            <w:r w:rsidRPr="00380885">
              <w:rPr>
                <w:rFonts w:hint="eastAsia"/>
                <w:sz w:val="24"/>
              </w:rPr>
              <w:t>等深受市场欢迎</w:t>
            </w:r>
            <w:r w:rsidR="00DF1C0E" w:rsidRPr="00380885">
              <w:rPr>
                <w:rFonts w:hint="eastAsia"/>
                <w:sz w:val="24"/>
              </w:rPr>
              <w:t>。国内智能系统供应商如上海船舶运输科学研究所、中船711所等都推出了智能机舱相关产品，但是与国外主流供应商对比，知名度与市场占有率普遍较低，并且尚未形成统一的体系与标准。</w:t>
            </w:r>
          </w:p>
        </w:tc>
      </w:tr>
      <w:tr w:rsidR="003B130A" w14:paraId="22C755C7" w14:textId="77777777" w:rsidTr="00505991">
        <w:trPr>
          <w:trHeight w:val="673"/>
          <w:jc w:val="center"/>
        </w:trPr>
        <w:tc>
          <w:tcPr>
            <w:tcW w:w="1980" w:type="dxa"/>
            <w:vAlign w:val="center"/>
          </w:tcPr>
          <w:p w14:paraId="0E90B3C0" w14:textId="77777777" w:rsidR="003B130A" w:rsidRDefault="003B130A" w:rsidP="003B130A">
            <w:pPr>
              <w:jc w:val="center"/>
              <w:rPr>
                <w:sz w:val="24"/>
              </w:rPr>
            </w:pPr>
            <w:r>
              <w:rPr>
                <w:rFonts w:hint="eastAsia"/>
                <w:sz w:val="24"/>
              </w:rPr>
              <w:lastRenderedPageBreak/>
              <w:t>标准必要性</w:t>
            </w:r>
            <w:proofErr w:type="gramStart"/>
            <w:r>
              <w:rPr>
                <w:rFonts w:hint="eastAsia"/>
                <w:sz w:val="24"/>
              </w:rPr>
              <w:t>和</w:t>
            </w:r>
            <w:proofErr w:type="gramEnd"/>
          </w:p>
          <w:p w14:paraId="604C83AC" w14:textId="77777777" w:rsidR="003B130A" w:rsidRDefault="003B130A" w:rsidP="003B130A">
            <w:pPr>
              <w:jc w:val="center"/>
              <w:rPr>
                <w:sz w:val="24"/>
              </w:rPr>
            </w:pPr>
            <w:r>
              <w:rPr>
                <w:rFonts w:hint="eastAsia"/>
                <w:sz w:val="24"/>
              </w:rPr>
              <w:t>可行性</w:t>
            </w:r>
          </w:p>
        </w:tc>
        <w:tc>
          <w:tcPr>
            <w:tcW w:w="7255" w:type="dxa"/>
            <w:gridSpan w:val="4"/>
            <w:vAlign w:val="center"/>
          </w:tcPr>
          <w:p w14:paraId="72643CCA" w14:textId="77777777" w:rsidR="00603B0E" w:rsidRPr="00603B0E" w:rsidRDefault="00603B0E" w:rsidP="00603B0E">
            <w:pPr>
              <w:ind w:firstLineChars="200" w:firstLine="480"/>
              <w:rPr>
                <w:sz w:val="24"/>
                <w:szCs w:val="24"/>
              </w:rPr>
            </w:pPr>
            <w:r w:rsidRPr="00603B0E">
              <w:rPr>
                <w:rFonts w:hint="eastAsia"/>
                <w:sz w:val="24"/>
                <w:szCs w:val="24"/>
              </w:rPr>
              <w:t>随着科技的持续进步，智能船舶已成为航运行业的重要发展方向。智能运</w:t>
            </w:r>
            <w:proofErr w:type="gramStart"/>
            <w:r w:rsidRPr="00603B0E">
              <w:rPr>
                <w:rFonts w:hint="eastAsia"/>
                <w:sz w:val="24"/>
                <w:szCs w:val="24"/>
              </w:rPr>
              <w:t>维系统</w:t>
            </w:r>
            <w:proofErr w:type="gramEnd"/>
            <w:r w:rsidRPr="00603B0E">
              <w:rPr>
                <w:rFonts w:hint="eastAsia"/>
                <w:sz w:val="24"/>
                <w:szCs w:val="24"/>
              </w:rPr>
              <w:t>作为智能船舶的核心组成部分，可实时监测船舶机舱设备的运行状态，凭借数据分析提前预警潜在故障，并据此优化维护计划，显著提升船舶运维的效率与可靠性。这种智能化的维护模式，不仅能有效保障船舶的安全运行，减少因设备故障引发的严重安全事故与经济损失，还能通过精准监测与控制设备，提升能源利用效率，降低能耗，优化船舶机舱设备的维护计划，减少不必要的维修与停机时间，进而降低运营成本。</w:t>
            </w:r>
            <w:r w:rsidRPr="00603B0E">
              <w:rPr>
                <w:rFonts w:ascii="Times New Roman" w:hAnsi="Times New Roman"/>
                <w:sz w:val="24"/>
                <w:szCs w:val="24"/>
              </w:rPr>
              <w:t>​</w:t>
            </w:r>
          </w:p>
          <w:p w14:paraId="0A7D1363" w14:textId="77777777" w:rsidR="00603B0E" w:rsidRPr="00603B0E" w:rsidRDefault="00603B0E" w:rsidP="00603B0E">
            <w:pPr>
              <w:ind w:firstLineChars="200" w:firstLine="480"/>
              <w:rPr>
                <w:sz w:val="24"/>
                <w:szCs w:val="24"/>
              </w:rPr>
            </w:pPr>
            <w:r w:rsidRPr="00603B0E">
              <w:rPr>
                <w:rFonts w:hint="eastAsia"/>
                <w:sz w:val="24"/>
                <w:szCs w:val="24"/>
              </w:rPr>
              <w:t>然而，目前在沿海内河船舶机舱领域，智能运</w:t>
            </w:r>
            <w:proofErr w:type="gramStart"/>
            <w:r w:rsidRPr="00603B0E">
              <w:rPr>
                <w:rFonts w:hint="eastAsia"/>
                <w:sz w:val="24"/>
                <w:szCs w:val="24"/>
              </w:rPr>
              <w:t>维技术</w:t>
            </w:r>
            <w:proofErr w:type="gramEnd"/>
            <w:r w:rsidRPr="00603B0E">
              <w:rPr>
                <w:rFonts w:hint="eastAsia"/>
                <w:sz w:val="24"/>
                <w:szCs w:val="24"/>
              </w:rPr>
              <w:t>尚处发展阶段。相关技术的应用与集成缺乏统一标准，致使市场上智能运</w:t>
            </w:r>
            <w:proofErr w:type="gramStart"/>
            <w:r w:rsidRPr="00603B0E">
              <w:rPr>
                <w:rFonts w:hint="eastAsia"/>
                <w:sz w:val="24"/>
                <w:szCs w:val="24"/>
              </w:rPr>
              <w:t>维系统</w:t>
            </w:r>
            <w:proofErr w:type="gramEnd"/>
            <w:r w:rsidRPr="00603B0E">
              <w:rPr>
                <w:rFonts w:hint="eastAsia"/>
                <w:sz w:val="24"/>
                <w:szCs w:val="24"/>
              </w:rPr>
              <w:t>的产品和服务质量参差不齐。这不仅阻碍了智能船舶技术在内河船舶领域的推广应用，也难以充分发挥智能运</w:t>
            </w:r>
            <w:proofErr w:type="gramStart"/>
            <w:r w:rsidRPr="00603B0E">
              <w:rPr>
                <w:rFonts w:hint="eastAsia"/>
                <w:sz w:val="24"/>
                <w:szCs w:val="24"/>
              </w:rPr>
              <w:t>维系统</w:t>
            </w:r>
            <w:proofErr w:type="gramEnd"/>
            <w:r w:rsidRPr="00603B0E">
              <w:rPr>
                <w:rFonts w:hint="eastAsia"/>
                <w:sz w:val="24"/>
                <w:szCs w:val="24"/>
              </w:rPr>
              <w:t>的优势。因此，制定统一的技术标准迫在眉睫。</w:t>
            </w:r>
            <w:r w:rsidRPr="00603B0E">
              <w:rPr>
                <w:rFonts w:ascii="Times New Roman" w:hAnsi="Times New Roman"/>
                <w:sz w:val="24"/>
                <w:szCs w:val="24"/>
              </w:rPr>
              <w:t>​</w:t>
            </w:r>
          </w:p>
          <w:p w14:paraId="7B5D7622" w14:textId="77777777" w:rsidR="00603B0E" w:rsidRPr="00603B0E" w:rsidRDefault="00603B0E" w:rsidP="00603B0E">
            <w:pPr>
              <w:ind w:firstLineChars="200" w:firstLine="480"/>
              <w:rPr>
                <w:sz w:val="24"/>
                <w:szCs w:val="24"/>
              </w:rPr>
            </w:pPr>
            <w:r w:rsidRPr="00603B0E">
              <w:rPr>
                <w:rFonts w:hint="eastAsia"/>
                <w:sz w:val="24"/>
                <w:szCs w:val="24"/>
              </w:rPr>
              <w:t>本技术标准的制定，将为内河船舶智能运</w:t>
            </w:r>
            <w:proofErr w:type="gramStart"/>
            <w:r w:rsidRPr="00603B0E">
              <w:rPr>
                <w:rFonts w:hint="eastAsia"/>
                <w:sz w:val="24"/>
                <w:szCs w:val="24"/>
              </w:rPr>
              <w:t>维系统</w:t>
            </w:r>
            <w:proofErr w:type="gramEnd"/>
            <w:r w:rsidRPr="00603B0E">
              <w:rPr>
                <w:rFonts w:hint="eastAsia"/>
                <w:sz w:val="24"/>
                <w:szCs w:val="24"/>
              </w:rPr>
              <w:t>的</w:t>
            </w:r>
            <w:r>
              <w:rPr>
                <w:rFonts w:hint="eastAsia"/>
                <w:sz w:val="24"/>
                <w:szCs w:val="24"/>
              </w:rPr>
              <w:t>组成、</w:t>
            </w:r>
            <w:r w:rsidRPr="00603B0E">
              <w:rPr>
                <w:rFonts w:hint="eastAsia"/>
                <w:sz w:val="24"/>
                <w:szCs w:val="24"/>
              </w:rPr>
              <w:t>设计、开发</w:t>
            </w:r>
            <w:r>
              <w:rPr>
                <w:rFonts w:hint="eastAsia"/>
                <w:sz w:val="24"/>
                <w:szCs w:val="24"/>
              </w:rPr>
              <w:t>、测试与检验等</w:t>
            </w:r>
            <w:r w:rsidRPr="00603B0E">
              <w:rPr>
                <w:rFonts w:hint="eastAsia"/>
                <w:sz w:val="24"/>
                <w:szCs w:val="24"/>
              </w:rPr>
              <w:t>提供规范指导。它明确了智能运</w:t>
            </w:r>
            <w:proofErr w:type="gramStart"/>
            <w:r w:rsidRPr="00603B0E">
              <w:rPr>
                <w:rFonts w:hint="eastAsia"/>
                <w:sz w:val="24"/>
                <w:szCs w:val="24"/>
              </w:rPr>
              <w:t>维系统</w:t>
            </w:r>
            <w:proofErr w:type="gramEnd"/>
            <w:r w:rsidRPr="00603B0E">
              <w:rPr>
                <w:rFonts w:hint="eastAsia"/>
                <w:sz w:val="24"/>
                <w:szCs w:val="24"/>
              </w:rPr>
              <w:t>在硬件配置、软件功能、数据传输等方面的要求，有助于加速技术的成熟与推广。同时，标准的出台能引导企业加大在智能运</w:t>
            </w:r>
            <w:proofErr w:type="gramStart"/>
            <w:r w:rsidRPr="00603B0E">
              <w:rPr>
                <w:rFonts w:hint="eastAsia"/>
                <w:sz w:val="24"/>
                <w:szCs w:val="24"/>
              </w:rPr>
              <w:t>维技术</w:t>
            </w:r>
            <w:proofErr w:type="gramEnd"/>
            <w:r w:rsidRPr="00603B0E">
              <w:rPr>
                <w:rFonts w:hint="eastAsia"/>
                <w:sz w:val="24"/>
                <w:szCs w:val="24"/>
              </w:rPr>
              <w:t>领域的研发投入，推动技术创新，促进产学研用的深度结合，加速科技成果转化。</w:t>
            </w:r>
            <w:r w:rsidRPr="00603B0E">
              <w:rPr>
                <w:rFonts w:ascii="Times New Roman" w:hAnsi="Times New Roman"/>
                <w:sz w:val="24"/>
                <w:szCs w:val="24"/>
              </w:rPr>
              <w:t>​</w:t>
            </w:r>
          </w:p>
          <w:p w14:paraId="4B89E6E5" w14:textId="7284568E" w:rsidR="00603B0E" w:rsidRPr="00603B0E" w:rsidRDefault="00603B0E" w:rsidP="00603B0E">
            <w:pPr>
              <w:ind w:firstLineChars="200" w:firstLine="480"/>
              <w:rPr>
                <w:sz w:val="24"/>
                <w:szCs w:val="24"/>
              </w:rPr>
            </w:pPr>
            <w:r w:rsidRPr="00603B0E">
              <w:rPr>
                <w:rFonts w:hint="eastAsia"/>
                <w:sz w:val="24"/>
                <w:szCs w:val="24"/>
              </w:rPr>
              <w:t>从市场层面来看，制定团体标准能明确智能运</w:t>
            </w:r>
            <w:proofErr w:type="gramStart"/>
            <w:r w:rsidRPr="00603B0E">
              <w:rPr>
                <w:rFonts w:hint="eastAsia"/>
                <w:sz w:val="24"/>
                <w:szCs w:val="24"/>
              </w:rPr>
              <w:t>维系统</w:t>
            </w:r>
            <w:proofErr w:type="gramEnd"/>
            <w:r w:rsidRPr="00603B0E">
              <w:rPr>
                <w:rFonts w:hint="eastAsia"/>
                <w:sz w:val="24"/>
                <w:szCs w:val="24"/>
              </w:rPr>
              <w:t>的性能指标与技术要求，为市场准入提供依据，有效规范市场秩序。标准实施后，企业将按照统一的技术要求进行生产和运营，这将大幅提高产品质量和服务水平，进而提升整个行业的竞争力与形象。</w:t>
            </w:r>
          </w:p>
          <w:p w14:paraId="046BB271" w14:textId="77777777" w:rsidR="003B130A" w:rsidRDefault="00603B0E" w:rsidP="009E2BE3">
            <w:pPr>
              <w:ind w:firstLineChars="200" w:firstLine="480"/>
              <w:rPr>
                <w:sz w:val="24"/>
                <w:szCs w:val="24"/>
              </w:rPr>
            </w:pPr>
            <w:r w:rsidRPr="00603B0E">
              <w:rPr>
                <w:rFonts w:hint="eastAsia"/>
                <w:sz w:val="24"/>
                <w:szCs w:val="24"/>
              </w:rPr>
              <w:t>对于船舶制造企业而言，本标准提供了明确的技术规范，有助于企业在设计和生产过程中更好地集成智能运维系统，提高船舶产品的质量与可靠性。智能运</w:t>
            </w:r>
            <w:proofErr w:type="gramStart"/>
            <w:r w:rsidRPr="00603B0E">
              <w:rPr>
                <w:rFonts w:hint="eastAsia"/>
                <w:sz w:val="24"/>
                <w:szCs w:val="24"/>
              </w:rPr>
              <w:t>维系统</w:t>
            </w:r>
            <w:proofErr w:type="gramEnd"/>
            <w:r w:rsidRPr="00603B0E">
              <w:rPr>
                <w:rFonts w:hint="eastAsia"/>
                <w:sz w:val="24"/>
                <w:szCs w:val="24"/>
              </w:rPr>
              <w:t>的广泛应用，是船舶制造业向智能化、高端化迈进的重要标志。通过标准的引领，能够推动船舶制造业的产业升级，提升我国船舶制造业在全球市场的竞争力。</w:t>
            </w:r>
          </w:p>
          <w:p w14:paraId="32A944F6" w14:textId="77777777" w:rsidR="00603B0E" w:rsidRPr="003F0615" w:rsidRDefault="00603B0E" w:rsidP="009E2BE3">
            <w:pPr>
              <w:ind w:firstLineChars="200" w:firstLine="480"/>
              <w:rPr>
                <w:sz w:val="24"/>
                <w:highlight w:val="yellow"/>
              </w:rPr>
            </w:pPr>
            <w:r>
              <w:rPr>
                <w:rFonts w:hint="eastAsia"/>
                <w:sz w:val="24"/>
                <w:szCs w:val="24"/>
              </w:rPr>
              <w:t>标准起草单位覆盖生产企业、高校、科研机构、船东等，覆盖智能机舱视情维护系统业务的整个产业链，能够为标准的实施提供良好的平台与场景。</w:t>
            </w:r>
          </w:p>
        </w:tc>
      </w:tr>
      <w:tr w:rsidR="003B130A" w14:paraId="40F5586D" w14:textId="77777777" w:rsidTr="00505991">
        <w:trPr>
          <w:trHeight w:val="702"/>
          <w:jc w:val="center"/>
        </w:trPr>
        <w:tc>
          <w:tcPr>
            <w:tcW w:w="1980" w:type="dxa"/>
            <w:vAlign w:val="center"/>
          </w:tcPr>
          <w:p w14:paraId="543286E9" w14:textId="77777777" w:rsidR="003B130A" w:rsidRDefault="003B130A" w:rsidP="003B130A">
            <w:pPr>
              <w:jc w:val="center"/>
              <w:rPr>
                <w:rFonts w:ascii="宋体" w:hAnsi="宋体" w:hint="eastAsia"/>
                <w:sz w:val="24"/>
              </w:rPr>
            </w:pPr>
            <w:bookmarkStart w:id="0" w:name="_Hlk193749679"/>
            <w:r>
              <w:rPr>
                <w:rFonts w:ascii="宋体" w:hAnsi="宋体" w:hint="eastAsia"/>
                <w:sz w:val="24"/>
              </w:rPr>
              <w:t>国内外情况</w:t>
            </w:r>
          </w:p>
          <w:p w14:paraId="316E8DC2" w14:textId="77777777" w:rsidR="003B130A" w:rsidRDefault="003B130A" w:rsidP="003B130A">
            <w:pPr>
              <w:jc w:val="center"/>
              <w:rPr>
                <w:sz w:val="24"/>
              </w:rPr>
            </w:pPr>
            <w:r>
              <w:rPr>
                <w:rFonts w:ascii="宋体" w:hAnsi="宋体" w:hint="eastAsia"/>
                <w:sz w:val="24"/>
              </w:rPr>
              <w:t>简要说明</w:t>
            </w:r>
          </w:p>
        </w:tc>
        <w:tc>
          <w:tcPr>
            <w:tcW w:w="7255" w:type="dxa"/>
            <w:gridSpan w:val="4"/>
            <w:vAlign w:val="center"/>
          </w:tcPr>
          <w:p w14:paraId="794121A4" w14:textId="77777777" w:rsidR="005267BA" w:rsidRPr="00380885" w:rsidRDefault="00603B0E" w:rsidP="00380885">
            <w:pPr>
              <w:ind w:firstLineChars="200" w:firstLine="480"/>
              <w:rPr>
                <w:sz w:val="24"/>
              </w:rPr>
            </w:pPr>
            <w:r w:rsidRPr="00380885">
              <w:rPr>
                <w:rFonts w:hint="eastAsia"/>
                <w:sz w:val="24"/>
              </w:rPr>
              <w:t>国际上</w:t>
            </w:r>
            <w:r w:rsidR="005267BA" w:rsidRPr="00380885">
              <w:rPr>
                <w:rFonts w:hint="eastAsia"/>
                <w:sz w:val="24"/>
              </w:rPr>
              <w:t>目前针对船舶动力设备、设备运维等有部分标准，如：</w:t>
            </w:r>
          </w:p>
          <w:p w14:paraId="52B48C6F" w14:textId="77777777" w:rsidR="005267BA" w:rsidRPr="00380885" w:rsidRDefault="005267BA" w:rsidP="00380885">
            <w:pPr>
              <w:ind w:firstLineChars="200" w:firstLine="480"/>
              <w:rPr>
                <w:sz w:val="24"/>
              </w:rPr>
            </w:pPr>
            <w:r w:rsidRPr="00380885">
              <w:rPr>
                <w:sz w:val="24"/>
              </w:rPr>
              <w:t>ISO 19030:2015 Monitoring and Evaluation of Ship Performance</w:t>
            </w:r>
            <w:r w:rsidRPr="00380885">
              <w:rPr>
                <w:rFonts w:hint="eastAsia"/>
                <w:sz w:val="24"/>
              </w:rPr>
              <w:t>，为</w:t>
            </w:r>
            <w:r w:rsidRPr="00380885">
              <w:rPr>
                <w:sz w:val="24"/>
              </w:rPr>
              <w:t>船舶性能的监测和评估提供</w:t>
            </w:r>
            <w:r w:rsidRPr="00380885">
              <w:rPr>
                <w:rFonts w:hint="eastAsia"/>
                <w:sz w:val="24"/>
              </w:rPr>
              <w:t>了</w:t>
            </w:r>
            <w:r w:rsidRPr="00380885">
              <w:rPr>
                <w:sz w:val="24"/>
              </w:rPr>
              <w:t>标准方法，有助于在船舶智能运维中通过性能数据的分析来优化设备运行状态</w:t>
            </w:r>
            <w:r w:rsidRPr="00380885">
              <w:rPr>
                <w:rFonts w:hint="eastAsia"/>
                <w:sz w:val="24"/>
              </w:rPr>
              <w:t>；</w:t>
            </w:r>
          </w:p>
          <w:p w14:paraId="737C61E7" w14:textId="77777777" w:rsidR="00603B0E" w:rsidRPr="00380885" w:rsidRDefault="005267BA" w:rsidP="00380885">
            <w:pPr>
              <w:ind w:firstLineChars="200" w:firstLine="480"/>
              <w:rPr>
                <w:sz w:val="24"/>
              </w:rPr>
            </w:pPr>
            <w:r w:rsidRPr="00380885">
              <w:rPr>
                <w:sz w:val="24"/>
              </w:rPr>
              <w:t>ISO 20884:2011 Condition Monitoring Systems for Marine Propulsion Plants for Ship and Marine Technology</w:t>
            </w:r>
            <w:r w:rsidRPr="00380885">
              <w:rPr>
                <w:rFonts w:hint="eastAsia"/>
                <w:sz w:val="24"/>
              </w:rPr>
              <w:t>，为</w:t>
            </w:r>
            <w:r w:rsidRPr="00380885">
              <w:rPr>
                <w:sz w:val="24"/>
              </w:rPr>
              <w:t>船舶推进装置的状态监测系统制定标准，明确了状态监测系统的功能、性能、数据采集等方面的要求</w:t>
            </w:r>
            <w:r w:rsidRPr="00380885">
              <w:rPr>
                <w:rFonts w:hint="eastAsia"/>
                <w:sz w:val="24"/>
              </w:rPr>
              <w:t>；</w:t>
            </w:r>
          </w:p>
          <w:p w14:paraId="05C4C41F" w14:textId="77777777" w:rsidR="005267BA" w:rsidRPr="00380885" w:rsidRDefault="005267BA" w:rsidP="00380885">
            <w:pPr>
              <w:ind w:firstLineChars="200" w:firstLine="480"/>
              <w:rPr>
                <w:sz w:val="24"/>
              </w:rPr>
            </w:pPr>
            <w:r w:rsidRPr="00380885">
              <w:rPr>
                <w:sz w:val="24"/>
              </w:rPr>
              <w:t>IEC 63198:2021 Condition monitoring and predictive maintenance of marine equipment for ship and marine technology</w:t>
            </w:r>
            <w:r w:rsidRPr="00380885">
              <w:rPr>
                <w:rFonts w:hint="eastAsia"/>
                <w:sz w:val="24"/>
              </w:rPr>
              <w:t>，</w:t>
            </w:r>
            <w:r w:rsidRPr="00380885">
              <w:rPr>
                <w:sz w:val="24"/>
              </w:rPr>
              <w:t>此标准聚焦于船舶设备的状态监测和预测性维护，规定了监测参数的选择、数据采集与分析方法、故障预测模型等内容，帮助运</w:t>
            </w:r>
            <w:proofErr w:type="gramStart"/>
            <w:r w:rsidRPr="00380885">
              <w:rPr>
                <w:sz w:val="24"/>
              </w:rPr>
              <w:t>维人员</w:t>
            </w:r>
            <w:proofErr w:type="gramEnd"/>
            <w:r w:rsidRPr="00380885">
              <w:rPr>
                <w:sz w:val="24"/>
              </w:rPr>
              <w:t>提前发现设备潜在故障，合理安排维护计划，降低设备故障率和维修成本</w:t>
            </w:r>
            <w:r w:rsidRPr="00380885">
              <w:rPr>
                <w:rFonts w:hint="eastAsia"/>
                <w:sz w:val="24"/>
              </w:rPr>
              <w:t>。</w:t>
            </w:r>
          </w:p>
          <w:p w14:paraId="68A48DA2" w14:textId="77777777" w:rsidR="005267BA" w:rsidRPr="00380885" w:rsidRDefault="005267BA" w:rsidP="00380885">
            <w:pPr>
              <w:ind w:firstLineChars="200" w:firstLine="480"/>
              <w:rPr>
                <w:sz w:val="24"/>
              </w:rPr>
            </w:pPr>
            <w:r w:rsidRPr="00380885">
              <w:rPr>
                <w:rFonts w:hint="eastAsia"/>
                <w:sz w:val="24"/>
              </w:rPr>
              <w:lastRenderedPageBreak/>
              <w:t>国内也有一些标准，如：</w:t>
            </w:r>
          </w:p>
          <w:p w14:paraId="0BDA7EC9" w14:textId="77777777" w:rsidR="005267BA" w:rsidRPr="00380885" w:rsidRDefault="005267BA" w:rsidP="00380885">
            <w:pPr>
              <w:ind w:firstLineChars="200" w:firstLine="480"/>
              <w:rPr>
                <w:sz w:val="24"/>
              </w:rPr>
            </w:pPr>
            <w:r w:rsidRPr="00380885">
              <w:rPr>
                <w:sz w:val="24"/>
              </w:rPr>
              <w:t>GB/T 39219 - 2020《智能船舶 人工智能应用技术要求》</w:t>
            </w:r>
            <w:r w:rsidRPr="00380885">
              <w:rPr>
                <w:rFonts w:hint="eastAsia"/>
                <w:sz w:val="24"/>
              </w:rPr>
              <w:t>，</w:t>
            </w:r>
            <w:r w:rsidRPr="00380885">
              <w:rPr>
                <w:sz w:val="24"/>
              </w:rPr>
              <w:t>规范了人工智能技术在船舶智能运维中的应用要求，涵盖了人工智能算法的选择、模型训练、性能评估等方面</w:t>
            </w:r>
            <w:r w:rsidRPr="00380885">
              <w:rPr>
                <w:rFonts w:hint="eastAsia"/>
                <w:sz w:val="24"/>
              </w:rPr>
              <w:t>；</w:t>
            </w:r>
          </w:p>
          <w:p w14:paraId="583E8CF5" w14:textId="77777777" w:rsidR="005267BA" w:rsidRPr="00380885" w:rsidRDefault="005267BA" w:rsidP="00380885">
            <w:pPr>
              <w:ind w:firstLineChars="200" w:firstLine="480"/>
              <w:rPr>
                <w:sz w:val="24"/>
              </w:rPr>
            </w:pPr>
            <w:r w:rsidRPr="00380885">
              <w:rPr>
                <w:sz w:val="24"/>
              </w:rPr>
              <w:t>GB/T 20863.1 - 2017《机器状态监测与诊断 数据判读和诊断技术 第1部分：总则》</w:t>
            </w:r>
            <w:r w:rsidRPr="00380885">
              <w:rPr>
                <w:rFonts w:hint="eastAsia"/>
                <w:sz w:val="24"/>
              </w:rPr>
              <w:t>，</w:t>
            </w:r>
            <w:r w:rsidRPr="00380885">
              <w:rPr>
                <w:sz w:val="24"/>
              </w:rPr>
              <w:t>为机器状态监测与诊断的数据判读和诊断技术提供了总体性指导，涵盖了数据采集、处理、分析以及诊断方法等方面的基本原则和要求</w:t>
            </w:r>
            <w:r w:rsidRPr="00380885">
              <w:rPr>
                <w:rFonts w:hint="eastAsia"/>
                <w:sz w:val="24"/>
              </w:rPr>
              <w:t>。</w:t>
            </w:r>
          </w:p>
          <w:p w14:paraId="72B265B9" w14:textId="77777777" w:rsidR="005267BA" w:rsidRPr="00380885" w:rsidRDefault="005267BA" w:rsidP="00380885">
            <w:pPr>
              <w:ind w:firstLineChars="200" w:firstLine="480"/>
              <w:rPr>
                <w:sz w:val="24"/>
              </w:rPr>
            </w:pPr>
            <w:r w:rsidRPr="00380885">
              <w:rPr>
                <w:rFonts w:hint="eastAsia"/>
                <w:sz w:val="24"/>
              </w:rPr>
              <w:t>以上标准以及本标准</w:t>
            </w:r>
            <w:r w:rsidRPr="00380885">
              <w:rPr>
                <w:sz w:val="24"/>
              </w:rPr>
              <w:t>都致力于提升船舶动力设备及整体运维的效率和效果</w:t>
            </w:r>
            <w:r w:rsidRPr="00380885">
              <w:rPr>
                <w:rFonts w:hint="eastAsia"/>
                <w:sz w:val="24"/>
              </w:rPr>
              <w:t>，</w:t>
            </w:r>
            <w:r w:rsidRPr="00380885">
              <w:rPr>
                <w:sz w:val="24"/>
              </w:rPr>
              <w:t>保障设备可靠运行，在数据驱动、状态监测、故障诊断等方面存在联系。</w:t>
            </w:r>
            <w:r w:rsidRPr="00380885">
              <w:rPr>
                <w:rFonts w:hint="eastAsia"/>
                <w:sz w:val="24"/>
              </w:rPr>
              <w:t>但是侧重点有所不同。本标准在编制时充分考虑了内河船的实际测点，侧重各个设备及技术细节，功能细节，能够为用户提供更为细节及可量化的设计及评价指标。</w:t>
            </w:r>
          </w:p>
        </w:tc>
      </w:tr>
      <w:bookmarkEnd w:id="0"/>
      <w:tr w:rsidR="003B130A" w14:paraId="5DD4B209" w14:textId="77777777" w:rsidTr="00505991">
        <w:trPr>
          <w:trHeight w:val="1017"/>
          <w:jc w:val="center"/>
        </w:trPr>
        <w:tc>
          <w:tcPr>
            <w:tcW w:w="1980" w:type="dxa"/>
            <w:vAlign w:val="center"/>
          </w:tcPr>
          <w:p w14:paraId="1F4E2EEF" w14:textId="77777777" w:rsidR="003B130A" w:rsidRDefault="003B130A" w:rsidP="003B130A">
            <w:pPr>
              <w:jc w:val="center"/>
              <w:rPr>
                <w:sz w:val="24"/>
              </w:rPr>
            </w:pPr>
            <w:r>
              <w:rPr>
                <w:rFonts w:hint="eastAsia"/>
                <w:sz w:val="24"/>
              </w:rPr>
              <w:lastRenderedPageBreak/>
              <w:t>标准适用范围</w:t>
            </w:r>
          </w:p>
          <w:p w14:paraId="156B386E" w14:textId="77777777" w:rsidR="003B130A" w:rsidRDefault="003B130A" w:rsidP="003B130A">
            <w:pPr>
              <w:jc w:val="center"/>
              <w:rPr>
                <w:sz w:val="24"/>
              </w:rPr>
            </w:pPr>
            <w:r>
              <w:rPr>
                <w:rFonts w:hint="eastAsia"/>
                <w:sz w:val="24"/>
              </w:rPr>
              <w:t>和主要技术内容</w:t>
            </w:r>
          </w:p>
        </w:tc>
        <w:tc>
          <w:tcPr>
            <w:tcW w:w="7255" w:type="dxa"/>
            <w:gridSpan w:val="4"/>
            <w:vAlign w:val="center"/>
          </w:tcPr>
          <w:p w14:paraId="4D6090E1" w14:textId="77777777" w:rsidR="00DF1C0E" w:rsidRPr="00380885" w:rsidRDefault="00DF1C0E" w:rsidP="00380885">
            <w:pPr>
              <w:ind w:firstLineChars="200" w:firstLine="480"/>
              <w:rPr>
                <w:sz w:val="24"/>
              </w:rPr>
            </w:pPr>
            <w:r w:rsidRPr="00380885">
              <w:rPr>
                <w:rFonts w:hint="eastAsia"/>
                <w:sz w:val="24"/>
              </w:rPr>
              <w:t>本文件规定了沿海内河船舶机舱智能运</w:t>
            </w:r>
            <w:proofErr w:type="gramStart"/>
            <w:r w:rsidRPr="00380885">
              <w:rPr>
                <w:rFonts w:hint="eastAsia"/>
                <w:sz w:val="24"/>
              </w:rPr>
              <w:t>维系统</w:t>
            </w:r>
            <w:proofErr w:type="gramEnd"/>
            <w:r w:rsidRPr="00380885">
              <w:rPr>
                <w:rFonts w:hint="eastAsia"/>
                <w:sz w:val="24"/>
              </w:rPr>
              <w:t>的组成，</w:t>
            </w:r>
            <w:r w:rsidR="00603B0E" w:rsidRPr="00380885">
              <w:rPr>
                <w:rFonts w:hint="eastAsia"/>
                <w:sz w:val="24"/>
              </w:rPr>
              <w:t>功能要求、性能</w:t>
            </w:r>
            <w:r w:rsidRPr="00380885">
              <w:rPr>
                <w:rFonts w:hint="eastAsia"/>
                <w:sz w:val="24"/>
              </w:rPr>
              <w:t>要求等要求。</w:t>
            </w:r>
          </w:p>
          <w:p w14:paraId="0CA2D511" w14:textId="77777777" w:rsidR="003B130A" w:rsidRDefault="00DF1C0E" w:rsidP="00380885">
            <w:pPr>
              <w:ind w:firstLineChars="200" w:firstLine="480"/>
              <w:rPr>
                <w:i/>
                <w:sz w:val="24"/>
                <w:u w:val="single"/>
              </w:rPr>
            </w:pPr>
            <w:r w:rsidRPr="00380885">
              <w:rPr>
                <w:rFonts w:hint="eastAsia"/>
                <w:sz w:val="24"/>
              </w:rPr>
              <w:t>本文件适用于指导沿海内河船舶机舱智能运</w:t>
            </w:r>
            <w:proofErr w:type="gramStart"/>
            <w:r w:rsidRPr="00380885">
              <w:rPr>
                <w:rFonts w:hint="eastAsia"/>
                <w:sz w:val="24"/>
              </w:rPr>
              <w:t>维系统</w:t>
            </w:r>
            <w:proofErr w:type="gramEnd"/>
            <w:r w:rsidRPr="00380885">
              <w:rPr>
                <w:rFonts w:hint="eastAsia"/>
                <w:sz w:val="24"/>
              </w:rPr>
              <w:t>的开发、设计、</w:t>
            </w:r>
            <w:r w:rsidR="00603B0E" w:rsidRPr="00380885">
              <w:rPr>
                <w:rFonts w:hint="eastAsia"/>
                <w:sz w:val="24"/>
              </w:rPr>
              <w:t>测试与检验</w:t>
            </w:r>
            <w:r w:rsidRPr="00380885">
              <w:rPr>
                <w:rFonts w:hint="eastAsia"/>
                <w:sz w:val="24"/>
              </w:rPr>
              <w:t>等。</w:t>
            </w:r>
          </w:p>
        </w:tc>
      </w:tr>
      <w:tr w:rsidR="003B130A" w14:paraId="165DF5E8" w14:textId="77777777" w:rsidTr="00505991">
        <w:trPr>
          <w:trHeight w:val="955"/>
          <w:jc w:val="center"/>
        </w:trPr>
        <w:tc>
          <w:tcPr>
            <w:tcW w:w="1980" w:type="dxa"/>
            <w:vAlign w:val="center"/>
          </w:tcPr>
          <w:p w14:paraId="43BEDA56" w14:textId="77777777" w:rsidR="003B130A" w:rsidRDefault="003B130A" w:rsidP="003B130A">
            <w:pPr>
              <w:widowControl/>
              <w:jc w:val="center"/>
              <w:rPr>
                <w:rFonts w:ascii="宋体" w:hAnsi="宋体" w:hint="eastAsia"/>
                <w:sz w:val="24"/>
              </w:rPr>
            </w:pPr>
            <w:r>
              <w:rPr>
                <w:rFonts w:ascii="宋体" w:hAnsi="宋体" w:hint="eastAsia"/>
                <w:sz w:val="24"/>
              </w:rPr>
              <w:t>工作进度安排</w:t>
            </w:r>
          </w:p>
        </w:tc>
        <w:tc>
          <w:tcPr>
            <w:tcW w:w="7255" w:type="dxa"/>
            <w:gridSpan w:val="4"/>
            <w:vAlign w:val="center"/>
          </w:tcPr>
          <w:p w14:paraId="0BCAF1A2" w14:textId="77777777" w:rsidR="00603B0E" w:rsidRPr="009B4CC3" w:rsidRDefault="00603B0E" w:rsidP="00603B0E">
            <w:pPr>
              <w:pStyle w:val="a3"/>
              <w:numPr>
                <w:ilvl w:val="0"/>
                <w:numId w:val="1"/>
              </w:numPr>
              <w:ind w:firstLineChars="0"/>
              <w:rPr>
                <w:sz w:val="24"/>
              </w:rPr>
            </w:pPr>
            <w:r w:rsidRPr="009B4CC3">
              <w:rPr>
                <w:rFonts w:hint="eastAsia"/>
                <w:sz w:val="24"/>
              </w:rPr>
              <w:t>草案提交2025-3-30</w:t>
            </w:r>
          </w:p>
          <w:p w14:paraId="03A485E8" w14:textId="77777777" w:rsidR="00603B0E" w:rsidRDefault="00603B0E" w:rsidP="00603B0E">
            <w:pPr>
              <w:pStyle w:val="a3"/>
              <w:numPr>
                <w:ilvl w:val="0"/>
                <w:numId w:val="1"/>
              </w:numPr>
              <w:ind w:firstLineChars="0"/>
              <w:rPr>
                <w:sz w:val="24"/>
              </w:rPr>
            </w:pPr>
            <w:r w:rsidRPr="009B4CC3">
              <w:rPr>
                <w:rFonts w:hint="eastAsia"/>
                <w:sz w:val="24"/>
              </w:rPr>
              <w:t>预期立项2025-</w:t>
            </w:r>
            <w:r>
              <w:rPr>
                <w:rFonts w:hint="eastAsia"/>
                <w:sz w:val="24"/>
              </w:rPr>
              <w:t>4</w:t>
            </w:r>
            <w:r w:rsidRPr="009B4CC3">
              <w:rPr>
                <w:rFonts w:hint="eastAsia"/>
                <w:sz w:val="24"/>
              </w:rPr>
              <w:t>-30</w:t>
            </w:r>
          </w:p>
          <w:p w14:paraId="59B1D5A5" w14:textId="77777777" w:rsidR="003B130A" w:rsidRPr="00603B0E" w:rsidRDefault="00603B0E" w:rsidP="00603B0E">
            <w:pPr>
              <w:pStyle w:val="a3"/>
              <w:numPr>
                <w:ilvl w:val="0"/>
                <w:numId w:val="1"/>
              </w:numPr>
              <w:ind w:firstLineChars="0"/>
              <w:rPr>
                <w:sz w:val="24"/>
              </w:rPr>
            </w:pPr>
            <w:r w:rsidRPr="00603B0E">
              <w:rPr>
                <w:rFonts w:hint="eastAsia"/>
                <w:sz w:val="24"/>
              </w:rPr>
              <w:t>发布时间2026-3-30</w:t>
            </w:r>
          </w:p>
        </w:tc>
      </w:tr>
      <w:tr w:rsidR="003B130A" w14:paraId="78085DE7" w14:textId="77777777" w:rsidTr="00505991">
        <w:trPr>
          <w:trHeight w:val="1035"/>
          <w:jc w:val="center"/>
        </w:trPr>
        <w:tc>
          <w:tcPr>
            <w:tcW w:w="1980" w:type="dxa"/>
            <w:vAlign w:val="center"/>
          </w:tcPr>
          <w:p w14:paraId="2DAF8C64" w14:textId="77777777" w:rsidR="003B130A" w:rsidRDefault="003B130A" w:rsidP="003B130A">
            <w:pPr>
              <w:widowControl/>
              <w:jc w:val="center"/>
              <w:rPr>
                <w:rFonts w:ascii="宋体" w:hAnsi="宋体" w:hint="eastAsia"/>
                <w:sz w:val="24"/>
              </w:rPr>
            </w:pPr>
            <w:r>
              <w:rPr>
                <w:rFonts w:ascii="宋体" w:hAnsi="宋体" w:hint="eastAsia"/>
                <w:sz w:val="24"/>
              </w:rPr>
              <w:t>标准预期实施</w:t>
            </w:r>
          </w:p>
          <w:p w14:paraId="42A99A44" w14:textId="77777777" w:rsidR="003B130A" w:rsidRDefault="003B130A" w:rsidP="003B130A">
            <w:pPr>
              <w:widowControl/>
              <w:jc w:val="center"/>
              <w:rPr>
                <w:rFonts w:ascii="宋体" w:hAnsi="宋体" w:hint="eastAsia"/>
                <w:sz w:val="24"/>
              </w:rPr>
            </w:pPr>
            <w:r>
              <w:rPr>
                <w:rFonts w:ascii="宋体" w:hAnsi="宋体" w:hint="eastAsia"/>
                <w:sz w:val="24"/>
              </w:rPr>
              <w:t>应用方案</w:t>
            </w:r>
          </w:p>
        </w:tc>
        <w:tc>
          <w:tcPr>
            <w:tcW w:w="7255" w:type="dxa"/>
            <w:gridSpan w:val="4"/>
            <w:vAlign w:val="center"/>
          </w:tcPr>
          <w:p w14:paraId="329587DE" w14:textId="77777777" w:rsidR="00724F45" w:rsidRPr="00724F45" w:rsidRDefault="00724F45" w:rsidP="009E2BE3">
            <w:pPr>
              <w:ind w:firstLineChars="200" w:firstLine="480"/>
              <w:rPr>
                <w:sz w:val="24"/>
              </w:rPr>
            </w:pPr>
            <w:r w:rsidRPr="00724F45">
              <w:rPr>
                <w:rFonts w:hint="eastAsia"/>
                <w:sz w:val="24"/>
              </w:rPr>
              <w:t>主编单位和各起草单位将积极推进标准宣传和培训，配合学会开展标准宣</w:t>
            </w:r>
            <w:proofErr w:type="gramStart"/>
            <w:r w:rsidRPr="00724F45">
              <w:rPr>
                <w:rFonts w:hint="eastAsia"/>
                <w:sz w:val="24"/>
              </w:rPr>
              <w:t>贯培训</w:t>
            </w:r>
            <w:proofErr w:type="gramEnd"/>
            <w:r w:rsidRPr="00724F45">
              <w:rPr>
                <w:rFonts w:hint="eastAsia"/>
                <w:sz w:val="24"/>
              </w:rPr>
              <w:t>工作，使有关技术人员</w:t>
            </w:r>
            <w:proofErr w:type="gramStart"/>
            <w:r w:rsidRPr="00724F45">
              <w:rPr>
                <w:rFonts w:hint="eastAsia"/>
                <w:sz w:val="24"/>
              </w:rPr>
              <w:t>熟悉标并</w:t>
            </w:r>
            <w:proofErr w:type="gramEnd"/>
            <w:r w:rsidRPr="00724F45">
              <w:rPr>
                <w:rFonts w:hint="eastAsia"/>
                <w:sz w:val="24"/>
              </w:rPr>
              <w:t>掌握标准的各项技术要求，加强示范效应，让标准在行业内得到广泛推广和应用，使标准的应用落到实处。</w:t>
            </w:r>
          </w:p>
          <w:p w14:paraId="50F23C83" w14:textId="5CFD7675" w:rsidR="007C705F" w:rsidRPr="00505991" w:rsidRDefault="00724F45" w:rsidP="00380885">
            <w:pPr>
              <w:ind w:firstLineChars="200" w:firstLine="480"/>
              <w:rPr>
                <w:i/>
                <w:iCs/>
                <w:sz w:val="24"/>
              </w:rPr>
            </w:pPr>
            <w:r w:rsidRPr="00724F45">
              <w:rPr>
                <w:rFonts w:hint="eastAsia"/>
                <w:sz w:val="24"/>
              </w:rPr>
              <w:t>主编单位和各起草单位将对标准实施应用情况进行跟踪调查，及时发现标准执行过程中的问题，不断修改完善，提高标准水平，提高标准的科学性、合理性、协调性和可操作性。</w:t>
            </w:r>
          </w:p>
        </w:tc>
      </w:tr>
      <w:tr w:rsidR="003B130A" w14:paraId="0B424D66" w14:textId="77777777" w:rsidTr="00505991">
        <w:trPr>
          <w:trHeight w:val="512"/>
          <w:jc w:val="center"/>
        </w:trPr>
        <w:tc>
          <w:tcPr>
            <w:tcW w:w="1980" w:type="dxa"/>
            <w:vAlign w:val="center"/>
          </w:tcPr>
          <w:p w14:paraId="740771D5" w14:textId="77777777" w:rsidR="003B130A" w:rsidRDefault="003B130A" w:rsidP="003B130A">
            <w:pPr>
              <w:widowControl/>
              <w:jc w:val="center"/>
              <w:rPr>
                <w:rFonts w:ascii="宋体" w:hAnsi="宋体" w:hint="eastAsia"/>
                <w:sz w:val="24"/>
              </w:rPr>
            </w:pPr>
            <w:r>
              <w:rPr>
                <w:rFonts w:ascii="宋体" w:hAnsi="宋体" w:hint="eastAsia"/>
                <w:sz w:val="24"/>
              </w:rPr>
              <w:t>经费保障</w:t>
            </w:r>
          </w:p>
        </w:tc>
        <w:tc>
          <w:tcPr>
            <w:tcW w:w="7255" w:type="dxa"/>
            <w:gridSpan w:val="4"/>
            <w:vAlign w:val="center"/>
          </w:tcPr>
          <w:p w14:paraId="5CA6EF97" w14:textId="12E87876" w:rsidR="003B130A" w:rsidRPr="00505991" w:rsidRDefault="00724F45" w:rsidP="009E2BE3">
            <w:pPr>
              <w:ind w:firstLineChars="200" w:firstLine="480"/>
              <w:rPr>
                <w:i/>
                <w:iCs/>
                <w:sz w:val="24"/>
              </w:rPr>
            </w:pPr>
            <w:r w:rsidRPr="009E2BE3">
              <w:rPr>
                <w:rFonts w:hint="eastAsia"/>
                <w:sz w:val="24"/>
              </w:rPr>
              <w:t>编制团队为标准编制提供必要的经费保障</w:t>
            </w:r>
            <w:r>
              <w:rPr>
                <w:rFonts w:hint="eastAsia"/>
                <w:sz w:val="24"/>
              </w:rPr>
              <w:t>。</w:t>
            </w:r>
          </w:p>
        </w:tc>
      </w:tr>
      <w:tr w:rsidR="003B130A" w14:paraId="5A2F8F2B" w14:textId="77777777" w:rsidTr="00505991">
        <w:trPr>
          <w:trHeight w:val="1134"/>
          <w:jc w:val="center"/>
        </w:trPr>
        <w:tc>
          <w:tcPr>
            <w:tcW w:w="1980" w:type="dxa"/>
            <w:vAlign w:val="center"/>
          </w:tcPr>
          <w:p w14:paraId="099FF7DB" w14:textId="77777777" w:rsidR="003B130A" w:rsidRDefault="003B130A" w:rsidP="003B130A">
            <w:pPr>
              <w:widowControl/>
              <w:jc w:val="center"/>
              <w:rPr>
                <w:rFonts w:ascii="宋体" w:hAnsi="宋体" w:hint="eastAsia"/>
                <w:sz w:val="24"/>
              </w:rPr>
            </w:pPr>
            <w:r>
              <w:rPr>
                <w:rFonts w:ascii="宋体" w:hAnsi="宋体" w:hint="eastAsia"/>
                <w:sz w:val="24"/>
              </w:rPr>
              <w:t>技术基础及</w:t>
            </w:r>
          </w:p>
          <w:p w14:paraId="58F45011" w14:textId="77777777" w:rsidR="003B130A" w:rsidRDefault="003B130A" w:rsidP="003B130A">
            <w:pPr>
              <w:widowControl/>
              <w:jc w:val="center"/>
              <w:rPr>
                <w:rFonts w:ascii="宋体" w:hAnsi="宋体" w:hint="eastAsia"/>
                <w:sz w:val="24"/>
              </w:rPr>
            </w:pPr>
            <w:r>
              <w:rPr>
                <w:rFonts w:ascii="宋体" w:hAnsi="宋体" w:hint="eastAsia"/>
                <w:sz w:val="24"/>
              </w:rPr>
              <w:t>研究团队</w:t>
            </w:r>
          </w:p>
        </w:tc>
        <w:tc>
          <w:tcPr>
            <w:tcW w:w="7255" w:type="dxa"/>
            <w:gridSpan w:val="4"/>
            <w:vAlign w:val="center"/>
          </w:tcPr>
          <w:p w14:paraId="4D26A117" w14:textId="1840A378" w:rsidR="00724F45" w:rsidRDefault="00724F45" w:rsidP="00724F45">
            <w:pPr>
              <w:ind w:firstLineChars="200" w:firstLine="480"/>
              <w:rPr>
                <w:sz w:val="24"/>
              </w:rPr>
            </w:pPr>
            <w:r>
              <w:rPr>
                <w:rFonts w:hint="eastAsia"/>
                <w:sz w:val="24"/>
              </w:rPr>
              <w:t>本标准基于工信部</w:t>
            </w:r>
            <w:r w:rsidRPr="00227AF8">
              <w:rPr>
                <w:sz w:val="24"/>
              </w:rPr>
              <w:t>高技术船舶科研项目</w:t>
            </w:r>
            <w:r w:rsidRPr="00227AF8">
              <w:rPr>
                <w:sz w:val="24"/>
              </w:rPr>
              <w:t>“</w:t>
            </w:r>
            <w:r w:rsidRPr="00227AF8">
              <w:rPr>
                <w:sz w:val="24"/>
              </w:rPr>
              <w:t>绿色智能船舶标准化引领工程</w:t>
            </w:r>
            <w:r w:rsidRPr="00227AF8">
              <w:rPr>
                <w:sz w:val="24"/>
              </w:rPr>
              <w:t>”</w:t>
            </w:r>
            <w:r w:rsidRPr="00227AF8">
              <w:rPr>
                <w:sz w:val="24"/>
              </w:rPr>
              <w:t>专项下属子工程四</w:t>
            </w:r>
            <w:r w:rsidRPr="00227AF8">
              <w:rPr>
                <w:sz w:val="24"/>
              </w:rPr>
              <w:t>“</w:t>
            </w:r>
            <w:r w:rsidRPr="00227AF8">
              <w:rPr>
                <w:sz w:val="24"/>
              </w:rPr>
              <w:t>2030型绿色智能沿海内河示范船</w:t>
            </w:r>
            <w:r w:rsidRPr="00227AF8">
              <w:rPr>
                <w:sz w:val="24"/>
              </w:rPr>
              <w:t>”</w:t>
            </w:r>
            <w:r w:rsidRPr="00227AF8">
              <w:rPr>
                <w:sz w:val="24"/>
              </w:rPr>
              <w:t>中任务</w:t>
            </w:r>
            <w:proofErr w:type="gramStart"/>
            <w:r w:rsidRPr="00227AF8">
              <w:rPr>
                <w:sz w:val="24"/>
              </w:rPr>
              <w:t>一</w:t>
            </w:r>
            <w:proofErr w:type="gramEnd"/>
            <w:r w:rsidRPr="00380885">
              <w:rPr>
                <w:sz w:val="24"/>
              </w:rPr>
              <w:t>“</w:t>
            </w:r>
            <w:r w:rsidRPr="00380885">
              <w:rPr>
                <w:sz w:val="24"/>
              </w:rPr>
              <w:t>沿海内河船舶智能技术研究</w:t>
            </w:r>
            <w:r w:rsidRPr="00380885">
              <w:rPr>
                <w:sz w:val="24"/>
              </w:rPr>
              <w:t>”</w:t>
            </w:r>
            <w:r w:rsidRPr="00227AF8">
              <w:rPr>
                <w:sz w:val="24"/>
              </w:rPr>
              <w:t>，</w:t>
            </w:r>
            <w:r>
              <w:rPr>
                <w:rFonts w:hint="eastAsia"/>
                <w:sz w:val="24"/>
              </w:rPr>
              <w:t>将研制工程样机，该标准将在样机上</w:t>
            </w:r>
            <w:r w:rsidR="009E2BE3">
              <w:rPr>
                <w:rFonts w:hint="eastAsia"/>
                <w:sz w:val="24"/>
              </w:rPr>
              <w:t>进行</w:t>
            </w:r>
            <w:r>
              <w:rPr>
                <w:rFonts w:hint="eastAsia"/>
                <w:sz w:val="24"/>
              </w:rPr>
              <w:t>验证。</w:t>
            </w:r>
          </w:p>
          <w:p w14:paraId="2FB08F44" w14:textId="77777777" w:rsidR="003B130A" w:rsidRPr="00380885" w:rsidRDefault="00380885" w:rsidP="00380885">
            <w:pPr>
              <w:ind w:firstLineChars="200" w:firstLine="480"/>
              <w:rPr>
                <w:sz w:val="24"/>
              </w:rPr>
            </w:pPr>
            <w:r w:rsidRPr="00380885">
              <w:rPr>
                <w:rFonts w:hint="eastAsia"/>
                <w:sz w:val="24"/>
              </w:rPr>
              <w:t>项目团队积极推动智能船舶技术研发，主要路径包括承担国家部委智能船舶项目和自立项目支持智能船舶基础应用技术研究、加快推进智能系统在集团船舶的安装应用。目前装船系统超100条。</w:t>
            </w:r>
          </w:p>
          <w:p w14:paraId="2374FD8B" w14:textId="77777777" w:rsidR="00380885" w:rsidRPr="00505991" w:rsidRDefault="00380885" w:rsidP="00380885">
            <w:pPr>
              <w:ind w:firstLineChars="200" w:firstLine="480"/>
              <w:rPr>
                <w:i/>
                <w:iCs/>
                <w:sz w:val="24"/>
              </w:rPr>
            </w:pPr>
            <w:r w:rsidRPr="00380885">
              <w:rPr>
                <w:rFonts w:hint="eastAsia"/>
                <w:sz w:val="24"/>
              </w:rPr>
              <w:t>研究团队均来自高校、企业骨干、资深船东等，对于智能机舱智能维护系统有着深刻的理解，能够充分保证系统的科学合理性</w:t>
            </w:r>
            <w:r>
              <w:rPr>
                <w:rFonts w:hint="eastAsia"/>
                <w:sz w:val="24"/>
              </w:rPr>
              <w:t>，也有助于该系统的顺利推广。</w:t>
            </w:r>
          </w:p>
        </w:tc>
      </w:tr>
      <w:tr w:rsidR="003B130A" w14:paraId="2D7A9AB1" w14:textId="77777777" w:rsidTr="00505991">
        <w:trPr>
          <w:trHeight w:val="1124"/>
          <w:jc w:val="center"/>
        </w:trPr>
        <w:tc>
          <w:tcPr>
            <w:tcW w:w="1980" w:type="dxa"/>
            <w:vAlign w:val="center"/>
          </w:tcPr>
          <w:p w14:paraId="6D943E02" w14:textId="77777777" w:rsidR="003B130A" w:rsidRDefault="003B130A" w:rsidP="003B130A">
            <w:pPr>
              <w:jc w:val="center"/>
              <w:rPr>
                <w:rFonts w:ascii="宋体" w:hAnsi="宋体" w:hint="eastAsia"/>
                <w:sz w:val="24"/>
              </w:rPr>
            </w:pPr>
            <w:r>
              <w:rPr>
                <w:rFonts w:ascii="宋体" w:hAnsi="宋体" w:hint="eastAsia"/>
                <w:sz w:val="24"/>
              </w:rPr>
              <w:t>申请立项单位</w:t>
            </w:r>
          </w:p>
          <w:p w14:paraId="6B1BC750" w14:textId="77777777" w:rsidR="003B130A" w:rsidRDefault="003B130A" w:rsidP="003B130A">
            <w:pPr>
              <w:jc w:val="center"/>
              <w:rPr>
                <w:rFonts w:ascii="宋体" w:hAnsi="宋体" w:hint="eastAsia"/>
                <w:sz w:val="24"/>
              </w:rPr>
            </w:pPr>
            <w:r>
              <w:rPr>
                <w:rFonts w:ascii="宋体" w:hAnsi="宋体" w:hint="eastAsia"/>
                <w:sz w:val="24"/>
              </w:rPr>
              <w:t>意见</w:t>
            </w:r>
          </w:p>
        </w:tc>
        <w:tc>
          <w:tcPr>
            <w:tcW w:w="7255" w:type="dxa"/>
            <w:gridSpan w:val="4"/>
            <w:vAlign w:val="bottom"/>
          </w:tcPr>
          <w:p w14:paraId="23BA3A2E" w14:textId="77777777" w:rsidR="003B130A" w:rsidRDefault="003B130A" w:rsidP="003B130A">
            <w:pPr>
              <w:wordWrap w:val="0"/>
              <w:jc w:val="right"/>
              <w:rPr>
                <w:sz w:val="24"/>
              </w:rPr>
            </w:pPr>
            <w:r>
              <w:rPr>
                <w:rFonts w:hint="eastAsia"/>
                <w:sz w:val="24"/>
              </w:rPr>
              <w:t xml:space="preserve">（盖章）                                          </w:t>
            </w:r>
          </w:p>
          <w:p w14:paraId="3A56C2C4" w14:textId="77777777" w:rsidR="003B130A" w:rsidRDefault="003B130A" w:rsidP="003B130A">
            <w:pPr>
              <w:jc w:val="right"/>
              <w:rPr>
                <w:rFonts w:ascii="黑体" w:eastAsia="黑体" w:hAnsi="宋体" w:hint="eastAsia"/>
                <w:color w:val="000000"/>
                <w:sz w:val="24"/>
              </w:rPr>
            </w:pPr>
            <w:r>
              <w:rPr>
                <w:rFonts w:hint="eastAsia"/>
                <w:sz w:val="24"/>
              </w:rPr>
              <w:t>年   月   日</w:t>
            </w:r>
          </w:p>
        </w:tc>
      </w:tr>
    </w:tbl>
    <w:p w14:paraId="538D48B3" w14:textId="77777777" w:rsidR="005E7D40" w:rsidRPr="00C3423D" w:rsidRDefault="00C3423D" w:rsidP="00C3423D">
      <w:pPr>
        <w:jc w:val="left"/>
        <w:rPr>
          <w:rFonts w:ascii="仿宋_GB2312" w:eastAsia="仿宋_GB2312"/>
          <w:sz w:val="24"/>
        </w:rPr>
      </w:pPr>
      <w:r>
        <w:rPr>
          <w:rFonts w:hAnsiTheme="minorEastAsia" w:hint="eastAsia"/>
        </w:rPr>
        <w:t>注：如本表空间不够，可另附页。</w:t>
      </w:r>
    </w:p>
    <w:sectPr w:rsidR="005E7D40" w:rsidRPr="00C34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66405" w14:textId="77777777" w:rsidR="001A453D" w:rsidRDefault="001A453D" w:rsidP="00C3423D">
      <w:r>
        <w:separator/>
      </w:r>
    </w:p>
  </w:endnote>
  <w:endnote w:type="continuationSeparator" w:id="0">
    <w:p w14:paraId="00648686" w14:textId="77777777" w:rsidR="001A453D" w:rsidRDefault="001A453D"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6120" w14:textId="77777777" w:rsidR="001A453D" w:rsidRDefault="001A453D" w:rsidP="00C3423D">
      <w:r>
        <w:separator/>
      </w:r>
    </w:p>
  </w:footnote>
  <w:footnote w:type="continuationSeparator" w:id="0">
    <w:p w14:paraId="46F769E2" w14:textId="77777777" w:rsidR="001A453D" w:rsidRDefault="001A453D" w:rsidP="00C3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31179"/>
    <w:multiLevelType w:val="hybridMultilevel"/>
    <w:tmpl w:val="02E0B332"/>
    <w:lvl w:ilvl="0" w:tplc="0D361304">
      <w:start w:val="1"/>
      <w:numFmt w:val="decimal"/>
      <w:lvlText w:val="(%1)"/>
      <w:lvlJc w:val="left"/>
      <w:pPr>
        <w:ind w:left="440" w:hanging="440"/>
      </w:pPr>
      <w:rPr>
        <w:rFonts w:hint="eastAsia"/>
        <w:i w:val="0"/>
        <w:i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92276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177ACE"/>
    <w:rsid w:val="001A453D"/>
    <w:rsid w:val="001D6A55"/>
    <w:rsid w:val="00272809"/>
    <w:rsid w:val="00380885"/>
    <w:rsid w:val="003B130A"/>
    <w:rsid w:val="003F0615"/>
    <w:rsid w:val="00426DD8"/>
    <w:rsid w:val="004D0597"/>
    <w:rsid w:val="00505991"/>
    <w:rsid w:val="005267BA"/>
    <w:rsid w:val="005E7D40"/>
    <w:rsid w:val="00603B0E"/>
    <w:rsid w:val="006771A0"/>
    <w:rsid w:val="006B3F32"/>
    <w:rsid w:val="006D5BA4"/>
    <w:rsid w:val="00724F45"/>
    <w:rsid w:val="007C705F"/>
    <w:rsid w:val="00837D5D"/>
    <w:rsid w:val="00915110"/>
    <w:rsid w:val="009E2BE3"/>
    <w:rsid w:val="00B179E9"/>
    <w:rsid w:val="00B439F8"/>
    <w:rsid w:val="00B55869"/>
    <w:rsid w:val="00BD0280"/>
    <w:rsid w:val="00BF659F"/>
    <w:rsid w:val="00C3423D"/>
    <w:rsid w:val="00DF1C0E"/>
    <w:rsid w:val="00EB3B78"/>
    <w:rsid w:val="00EC1447"/>
    <w:rsid w:val="00FC22B1"/>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7C44F"/>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 w:type="paragraph" w:styleId="a8">
    <w:name w:val="Revision"/>
    <w:hidden/>
    <w:uiPriority w:val="99"/>
    <w:unhideWhenUsed/>
    <w:rsid w:val="00724F45"/>
    <w:rPr>
      <w:rFonts w:asciiTheme="minorEastAsia" w:cs="Times New Roman"/>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553499">
      <w:bodyDiv w:val="1"/>
      <w:marLeft w:val="0"/>
      <w:marRight w:val="0"/>
      <w:marTop w:val="0"/>
      <w:marBottom w:val="0"/>
      <w:divBdr>
        <w:top w:val="none" w:sz="0" w:space="0" w:color="auto"/>
        <w:left w:val="none" w:sz="0" w:space="0" w:color="auto"/>
        <w:bottom w:val="none" w:sz="0" w:space="0" w:color="auto"/>
        <w:right w:val="none" w:sz="0" w:space="0" w:color="auto"/>
      </w:divBdr>
      <w:divsChild>
        <w:div w:id="583074715">
          <w:marLeft w:val="0"/>
          <w:marRight w:val="0"/>
          <w:marTop w:val="0"/>
          <w:marBottom w:val="120"/>
          <w:divBdr>
            <w:top w:val="none" w:sz="0" w:space="0" w:color="auto"/>
            <w:left w:val="none" w:sz="0" w:space="0" w:color="auto"/>
            <w:bottom w:val="none" w:sz="0" w:space="0" w:color="auto"/>
            <w:right w:val="none" w:sz="0" w:space="0" w:color="auto"/>
          </w:divBdr>
        </w:div>
        <w:div w:id="1826242610">
          <w:marLeft w:val="0"/>
          <w:marRight w:val="0"/>
          <w:marTop w:val="120"/>
          <w:marBottom w:val="120"/>
          <w:divBdr>
            <w:top w:val="none" w:sz="0" w:space="0" w:color="auto"/>
            <w:left w:val="none" w:sz="0" w:space="0" w:color="auto"/>
            <w:bottom w:val="none" w:sz="0" w:space="0" w:color="auto"/>
            <w:right w:val="none" w:sz="0" w:space="0" w:color="auto"/>
          </w:divBdr>
        </w:div>
      </w:divsChild>
    </w:div>
    <w:div w:id="1654598648">
      <w:bodyDiv w:val="1"/>
      <w:marLeft w:val="0"/>
      <w:marRight w:val="0"/>
      <w:marTop w:val="0"/>
      <w:marBottom w:val="0"/>
      <w:divBdr>
        <w:top w:val="none" w:sz="0" w:space="0" w:color="auto"/>
        <w:left w:val="none" w:sz="0" w:space="0" w:color="auto"/>
        <w:bottom w:val="none" w:sz="0" w:space="0" w:color="auto"/>
        <w:right w:val="none" w:sz="0" w:space="0" w:color="auto"/>
      </w:divBdr>
      <w:divsChild>
        <w:div w:id="2062053159">
          <w:marLeft w:val="0"/>
          <w:marRight w:val="0"/>
          <w:marTop w:val="0"/>
          <w:marBottom w:val="120"/>
          <w:divBdr>
            <w:top w:val="none" w:sz="0" w:space="0" w:color="auto"/>
            <w:left w:val="none" w:sz="0" w:space="0" w:color="auto"/>
            <w:bottom w:val="none" w:sz="0" w:space="0" w:color="auto"/>
            <w:right w:val="none" w:sz="0" w:space="0" w:color="auto"/>
          </w:divBdr>
        </w:div>
        <w:div w:id="1510635424">
          <w:marLeft w:val="0"/>
          <w:marRight w:val="0"/>
          <w:marTop w:val="12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1607</Words>
  <Characters>1833</Characters>
  <Application>Microsoft Office Word</Application>
  <DocSecurity>0</DocSecurity>
  <Lines>87</Lines>
  <Paragraphs>74</Paragraphs>
  <ScaleCrop>false</ScaleCrop>
  <Company>Microsoft</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yongli luan</cp:lastModifiedBy>
  <cp:revision>14</cp:revision>
  <dcterms:created xsi:type="dcterms:W3CDTF">2022-08-15T06:27:00Z</dcterms:created>
  <dcterms:modified xsi:type="dcterms:W3CDTF">2025-03-27T04:48:00Z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